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CE6AC" w14:textId="77777777" w:rsidR="00B650D2" w:rsidRDefault="00B650D2">
      <w:r>
        <w:rPr>
          <w:noProof/>
          <w:lang w:eastAsia="en-GB"/>
        </w:rPr>
        <mc:AlternateContent>
          <mc:Choice Requires="wps">
            <w:drawing>
              <wp:anchor distT="0" distB="0" distL="114300" distR="114300" simplePos="0" relativeHeight="251662336" behindDoc="0" locked="0" layoutInCell="1" allowOverlap="1" wp14:anchorId="4896D23D" wp14:editId="5D0C5722">
                <wp:simplePos x="0" y="0"/>
                <wp:positionH relativeFrom="margin">
                  <wp:align>left</wp:align>
                </wp:positionH>
                <wp:positionV relativeFrom="paragraph">
                  <wp:posOffset>-49258</wp:posOffset>
                </wp:positionV>
                <wp:extent cx="6686550" cy="8572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6686550" cy="857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08169C3" w14:textId="77777777" w:rsidR="00B650D2" w:rsidRPr="0013696A" w:rsidRDefault="00B650D2" w:rsidP="003160D7">
                            <w:pPr>
                              <w:jc w:val="center"/>
                              <w:rPr>
                                <w:b/>
                                <w:sz w:val="36"/>
                                <w:szCs w:val="36"/>
                              </w:rPr>
                            </w:pPr>
                            <w:r w:rsidRPr="0013696A">
                              <w:rPr>
                                <w:b/>
                                <w:sz w:val="36"/>
                                <w:szCs w:val="36"/>
                              </w:rPr>
                              <w:t>SERVICE DELIVERY PLAN</w:t>
                            </w:r>
                            <w:r>
                              <w:rPr>
                                <w:b/>
                                <w:sz w:val="36"/>
                                <w:szCs w:val="36"/>
                              </w:rPr>
                              <w:t xml:space="preserve"> 2023-24</w:t>
                            </w:r>
                            <w:r w:rsidRPr="0013696A">
                              <w:rPr>
                                <w:b/>
                                <w:sz w:val="36"/>
                                <w:szCs w:val="36"/>
                              </w:rPr>
                              <w:t>:</w:t>
                            </w:r>
                          </w:p>
                          <w:p w14:paraId="2FC35A4C" w14:textId="77777777" w:rsidR="00B650D2" w:rsidRPr="0013696A" w:rsidRDefault="00B650D2" w:rsidP="003160D7">
                            <w:pPr>
                              <w:jc w:val="center"/>
                              <w:rPr>
                                <w:b/>
                                <w:sz w:val="36"/>
                                <w:szCs w:val="36"/>
                              </w:rPr>
                            </w:pPr>
                            <w:r>
                              <w:rPr>
                                <w:b/>
                                <w:sz w:val="36"/>
                                <w:szCs w:val="36"/>
                              </w:rPr>
                              <w:t>October  to December 2023</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25" style="width:526.5pt;height:67.5pt;margin-top:-3.9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middle;z-index:251663360" fillcolor="#5b9bd5" strokecolor="#1f4d78" strokeweight="1pt">
                <v:textbox>
                  <w:txbxContent>
                    <w:p w:rsidR="00B1150A" w:rsidRPr="0013696A" w:rsidP="003160D7">
                      <w:pPr>
                        <w:jc w:val="center"/>
                        <w:rPr>
                          <w:b/>
                          <w:sz w:val="36"/>
                          <w:szCs w:val="36"/>
                        </w:rPr>
                      </w:pPr>
                      <w:r w:rsidRPr="0013696A">
                        <w:rPr>
                          <w:b/>
                          <w:sz w:val="36"/>
                          <w:szCs w:val="36"/>
                        </w:rPr>
                        <w:t>SERVICE DELIVERY PLAN</w:t>
                      </w:r>
                      <w:r>
                        <w:rPr>
                          <w:b/>
                          <w:sz w:val="36"/>
                          <w:szCs w:val="36"/>
                        </w:rPr>
                        <w:t xml:space="preserve"> 2023-24</w:t>
                      </w:r>
                      <w:r w:rsidRPr="0013696A">
                        <w:rPr>
                          <w:b/>
                          <w:sz w:val="36"/>
                          <w:szCs w:val="36"/>
                        </w:rPr>
                        <w:t>:</w:t>
                      </w:r>
                    </w:p>
                    <w:p w:rsidR="00B1150A" w:rsidRPr="0013696A" w:rsidP="003160D7">
                      <w:pPr>
                        <w:jc w:val="center"/>
                        <w:rPr>
                          <w:b/>
                          <w:sz w:val="36"/>
                          <w:szCs w:val="36"/>
                        </w:rPr>
                      </w:pPr>
                      <w:r>
                        <w:rPr>
                          <w:b/>
                          <w:sz w:val="36"/>
                          <w:szCs w:val="36"/>
                        </w:rPr>
                        <w:t>October  to</w:t>
                      </w:r>
                      <w:r>
                        <w:rPr>
                          <w:b/>
                          <w:sz w:val="36"/>
                          <w:szCs w:val="36"/>
                        </w:rPr>
                        <w:t xml:space="preserve"> December 2023</w:t>
                      </w:r>
                    </w:p>
                  </w:txbxContent>
                </v:textbox>
                <w10:wrap anchorx="margin"/>
              </v:rect>
            </w:pict>
          </mc:Fallback>
        </mc:AlternateContent>
      </w:r>
    </w:p>
    <w:p w14:paraId="253A288E" w14:textId="77777777" w:rsidR="00B650D2" w:rsidRDefault="00B650D2"/>
    <w:p w14:paraId="4332A1C8" w14:textId="77777777" w:rsidR="00B650D2" w:rsidRDefault="00B650D2"/>
    <w:p w14:paraId="08755977" w14:textId="77777777" w:rsidR="00B650D2" w:rsidRDefault="00B650D2">
      <w:r>
        <w:rPr>
          <w:noProof/>
          <w:lang w:eastAsia="en-GB"/>
        </w:rPr>
        <mc:AlternateContent>
          <mc:Choice Requires="wps">
            <w:drawing>
              <wp:anchor distT="365760" distB="365760" distL="365760" distR="365760" simplePos="0" relativeHeight="251658240" behindDoc="0" locked="0" layoutInCell="1" allowOverlap="1" wp14:anchorId="3D779F8C" wp14:editId="3130A2CA">
                <wp:simplePos x="0" y="0"/>
                <wp:positionH relativeFrom="margin">
                  <wp:posOffset>1762941</wp:posOffset>
                </wp:positionH>
                <wp:positionV relativeFrom="margin">
                  <wp:posOffset>1064623</wp:posOffset>
                </wp:positionV>
                <wp:extent cx="3110230" cy="424180"/>
                <wp:effectExtent l="0" t="0" r="13970" b="13970"/>
                <wp:wrapSquare wrapText="bothSides"/>
                <wp:docPr id="136" name="Text Box 136"/>
                <wp:cNvGraphicFramePr/>
                <a:graphic xmlns:a="http://schemas.openxmlformats.org/drawingml/2006/main">
                  <a:graphicData uri="http://schemas.microsoft.com/office/word/2010/wordprocessingShape">
                    <wps:wsp>
                      <wps:cNvSpPr txBox="1"/>
                      <wps:spPr>
                        <a:xfrm>
                          <a:off x="0" y="0"/>
                          <a:ext cx="3110230" cy="424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1EB3D9" w14:textId="77777777" w:rsidR="00B650D2" w:rsidRPr="008808AA" w:rsidRDefault="00B650D2"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6" o:spid="_x0000_s1026" type="#_x0000_t202" style="width:244.9pt;height:33.4pt;margin-top:83.85pt;margin-left:138.8pt;mso-height-percent:0;mso-height-relative:margin;mso-position-horizontal-relative:margin;mso-position-vertical-relative:margin;mso-width-percent:0;mso-width-relative:margin;mso-wrap-distance-bottom:28.8pt;mso-wrap-distance-left:28.8pt;mso-wrap-distance-right:28.8pt;mso-wrap-distance-top:28.8pt;mso-wrap-style:square;position:absolute;visibility:visible;v-text-anchor:top;z-index:251659264" filled="f" stroked="f" strokeweight="0.5pt">
                <v:textbox inset="0,0,0,0">
                  <w:txbxContent>
                    <w:p w:rsidR="00B1150A" w:rsidRPr="008808AA"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v:textbox>
                <w10:wrap type="square"/>
              </v:shape>
            </w:pict>
          </mc:Fallback>
        </mc:AlternateContent>
      </w:r>
    </w:p>
    <w:p w14:paraId="18F5DB9C" w14:textId="77777777" w:rsidR="00B650D2" w:rsidRDefault="00B650D2"/>
    <w:p w14:paraId="2AF6BE0C" w14:textId="77777777" w:rsidR="00B650D2" w:rsidRDefault="00B650D2"/>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single" w:sz="12" w:space="0" w:color="2E74B5" w:themeColor="accent1" w:themeShade="BF"/>
          <w:insideV w:val="single" w:sz="12" w:space="0" w:color="2E74B5" w:themeColor="accent1" w:themeShade="BF"/>
        </w:tblBorders>
        <w:shd w:val="clear" w:color="auto" w:fill="DEEAF6" w:themeFill="accent1" w:themeFillTint="33"/>
        <w:tblLook w:val="04A0" w:firstRow="1" w:lastRow="0" w:firstColumn="1" w:lastColumn="0" w:noHBand="0" w:noVBand="1"/>
      </w:tblPr>
      <w:tblGrid>
        <w:gridCol w:w="4851"/>
      </w:tblGrid>
      <w:tr w:rsidR="004E0CC1" w14:paraId="16698381" w14:textId="77777777" w:rsidTr="003160D7">
        <w:trPr>
          <w:trHeight w:val="7234"/>
        </w:trPr>
        <w:tc>
          <w:tcPr>
            <w:tcW w:w="4851" w:type="dxa"/>
            <w:shd w:val="clear" w:color="auto" w:fill="DEEAF6" w:themeFill="accent1" w:themeFillTint="33"/>
          </w:tcPr>
          <w:p w14:paraId="56E5AC0C" w14:textId="77777777" w:rsidR="00B650D2" w:rsidRDefault="00B650D2" w:rsidP="003160D7">
            <w:pPr>
              <w:rPr>
                <w:b/>
                <w:sz w:val="28"/>
                <w:szCs w:val="28"/>
              </w:rPr>
            </w:pPr>
          </w:p>
          <w:p w14:paraId="44063275" w14:textId="77777777" w:rsidR="00B650D2" w:rsidRPr="008808AA" w:rsidRDefault="00B650D2" w:rsidP="003160D7">
            <w:pPr>
              <w:jc w:val="center"/>
              <w:rPr>
                <w:b/>
                <w:sz w:val="28"/>
                <w:szCs w:val="28"/>
              </w:rPr>
            </w:pPr>
            <w:r>
              <w:rPr>
                <w:b/>
                <w:sz w:val="28"/>
                <w:szCs w:val="28"/>
              </w:rPr>
              <w:t xml:space="preserve">Total emergency calls </w:t>
            </w:r>
          </w:p>
          <w:p w14:paraId="3CCA9423" w14:textId="77777777" w:rsidR="00B650D2" w:rsidRPr="008808AA" w:rsidRDefault="00B650D2" w:rsidP="003160D7">
            <w:pPr>
              <w:jc w:val="center"/>
              <w:rPr>
                <w:b/>
                <w:sz w:val="28"/>
                <w:szCs w:val="28"/>
              </w:rPr>
            </w:pPr>
          </w:p>
          <w:p w14:paraId="42A1D031" w14:textId="77777777" w:rsidR="00B650D2" w:rsidRPr="008808AA" w:rsidRDefault="00B650D2" w:rsidP="003160D7">
            <w:pPr>
              <w:jc w:val="center"/>
              <w:rPr>
                <w:b/>
                <w:sz w:val="28"/>
                <w:szCs w:val="28"/>
              </w:rPr>
            </w:pPr>
            <w:r>
              <w:rPr>
                <w:b/>
                <w:sz w:val="28"/>
                <w:szCs w:val="28"/>
              </w:rPr>
              <w:t xml:space="preserve">Total incidents </w:t>
            </w:r>
          </w:p>
          <w:p w14:paraId="54BCBA98" w14:textId="77777777" w:rsidR="00B650D2" w:rsidRPr="008808AA" w:rsidRDefault="00B650D2" w:rsidP="003160D7">
            <w:pPr>
              <w:jc w:val="center"/>
              <w:rPr>
                <w:b/>
                <w:sz w:val="28"/>
                <w:szCs w:val="28"/>
              </w:rPr>
            </w:pPr>
          </w:p>
          <w:p w14:paraId="674F4E68" w14:textId="77777777" w:rsidR="00B650D2" w:rsidRPr="008808AA" w:rsidRDefault="00B650D2" w:rsidP="003160D7">
            <w:pPr>
              <w:jc w:val="center"/>
              <w:rPr>
                <w:b/>
                <w:sz w:val="28"/>
                <w:szCs w:val="28"/>
              </w:rPr>
            </w:pPr>
            <w:r>
              <w:rPr>
                <w:b/>
                <w:sz w:val="28"/>
                <w:szCs w:val="28"/>
              </w:rPr>
              <w:t>Total fires</w:t>
            </w:r>
          </w:p>
          <w:p w14:paraId="687FC8EA" w14:textId="77777777" w:rsidR="00B650D2" w:rsidRPr="008808AA" w:rsidRDefault="00B650D2" w:rsidP="003160D7">
            <w:pPr>
              <w:jc w:val="center"/>
              <w:rPr>
                <w:b/>
                <w:sz w:val="28"/>
                <w:szCs w:val="28"/>
              </w:rPr>
            </w:pPr>
          </w:p>
          <w:p w14:paraId="094BB0BF" w14:textId="77777777" w:rsidR="00B650D2" w:rsidRPr="008808AA" w:rsidRDefault="00B650D2" w:rsidP="003160D7">
            <w:pPr>
              <w:jc w:val="center"/>
              <w:rPr>
                <w:b/>
                <w:sz w:val="28"/>
                <w:szCs w:val="28"/>
              </w:rPr>
            </w:pPr>
            <w:r>
              <w:rPr>
                <w:b/>
                <w:sz w:val="28"/>
                <w:szCs w:val="28"/>
              </w:rPr>
              <w:t xml:space="preserve">Primary fires </w:t>
            </w:r>
          </w:p>
          <w:p w14:paraId="37C84CE7" w14:textId="77777777" w:rsidR="00B650D2" w:rsidRPr="008808AA" w:rsidRDefault="00B650D2" w:rsidP="003160D7">
            <w:pPr>
              <w:jc w:val="center"/>
              <w:rPr>
                <w:b/>
                <w:sz w:val="28"/>
                <w:szCs w:val="28"/>
              </w:rPr>
            </w:pPr>
          </w:p>
          <w:p w14:paraId="1A3B18A1" w14:textId="77777777" w:rsidR="00B650D2" w:rsidRDefault="00B650D2" w:rsidP="003160D7">
            <w:pPr>
              <w:jc w:val="center"/>
              <w:rPr>
                <w:b/>
                <w:sz w:val="28"/>
                <w:szCs w:val="28"/>
              </w:rPr>
            </w:pPr>
            <w:r>
              <w:rPr>
                <w:b/>
                <w:sz w:val="28"/>
                <w:szCs w:val="28"/>
              </w:rPr>
              <w:t xml:space="preserve">Secondary fires </w:t>
            </w:r>
          </w:p>
          <w:p w14:paraId="682CA2BD" w14:textId="77777777" w:rsidR="00B650D2" w:rsidRDefault="00B650D2" w:rsidP="003160D7">
            <w:pPr>
              <w:jc w:val="center"/>
              <w:rPr>
                <w:b/>
                <w:sz w:val="28"/>
                <w:szCs w:val="28"/>
              </w:rPr>
            </w:pPr>
          </w:p>
          <w:p w14:paraId="136C2D17" w14:textId="77777777" w:rsidR="00B650D2" w:rsidRPr="008808AA" w:rsidRDefault="00B650D2" w:rsidP="003160D7">
            <w:pPr>
              <w:jc w:val="center"/>
              <w:rPr>
                <w:b/>
                <w:sz w:val="28"/>
                <w:szCs w:val="28"/>
              </w:rPr>
            </w:pPr>
            <w:r>
              <w:rPr>
                <w:b/>
                <w:sz w:val="28"/>
                <w:szCs w:val="28"/>
              </w:rPr>
              <w:t>Special services</w:t>
            </w:r>
          </w:p>
          <w:p w14:paraId="380A8B92" w14:textId="77777777" w:rsidR="00B650D2" w:rsidRPr="008808AA" w:rsidRDefault="00B650D2" w:rsidP="003160D7">
            <w:pPr>
              <w:jc w:val="center"/>
              <w:rPr>
                <w:b/>
                <w:sz w:val="28"/>
                <w:szCs w:val="28"/>
              </w:rPr>
            </w:pPr>
          </w:p>
          <w:p w14:paraId="07992D12" w14:textId="77777777" w:rsidR="00B650D2" w:rsidRDefault="00B650D2" w:rsidP="003160D7">
            <w:pPr>
              <w:jc w:val="center"/>
              <w:rPr>
                <w:b/>
                <w:sz w:val="28"/>
                <w:szCs w:val="28"/>
              </w:rPr>
            </w:pPr>
            <w:r>
              <w:rPr>
                <w:b/>
                <w:sz w:val="28"/>
                <w:szCs w:val="28"/>
              </w:rPr>
              <w:t xml:space="preserve">False alarms </w:t>
            </w:r>
          </w:p>
          <w:p w14:paraId="1A62B487" w14:textId="77777777" w:rsidR="00B650D2" w:rsidRDefault="00B650D2" w:rsidP="003160D7">
            <w:pPr>
              <w:jc w:val="center"/>
              <w:rPr>
                <w:b/>
                <w:sz w:val="28"/>
                <w:szCs w:val="28"/>
              </w:rPr>
            </w:pPr>
          </w:p>
          <w:p w14:paraId="57B4603B" w14:textId="77777777" w:rsidR="00B650D2" w:rsidRPr="008808AA" w:rsidRDefault="00B650D2" w:rsidP="003160D7">
            <w:pPr>
              <w:jc w:val="center"/>
              <w:rPr>
                <w:b/>
                <w:sz w:val="28"/>
                <w:szCs w:val="28"/>
              </w:rPr>
            </w:pPr>
            <w:r>
              <w:rPr>
                <w:b/>
                <w:sz w:val="28"/>
                <w:szCs w:val="28"/>
              </w:rPr>
              <w:t>Attendance standard</w:t>
            </w:r>
          </w:p>
          <w:p w14:paraId="3DDC9252" w14:textId="77777777" w:rsidR="00B650D2" w:rsidRPr="008808AA" w:rsidRDefault="00B650D2" w:rsidP="003160D7">
            <w:pPr>
              <w:jc w:val="center"/>
              <w:rPr>
                <w:b/>
                <w:sz w:val="28"/>
                <w:szCs w:val="28"/>
              </w:rPr>
            </w:pPr>
          </w:p>
          <w:p w14:paraId="51E63A4A" w14:textId="77777777" w:rsidR="00B650D2" w:rsidRDefault="00B650D2" w:rsidP="003160D7">
            <w:pPr>
              <w:jc w:val="center"/>
              <w:rPr>
                <w:b/>
                <w:sz w:val="28"/>
                <w:szCs w:val="28"/>
              </w:rPr>
            </w:pPr>
            <w:r w:rsidRPr="008808AA">
              <w:rPr>
                <w:b/>
                <w:sz w:val="28"/>
                <w:szCs w:val="28"/>
              </w:rPr>
              <w:t xml:space="preserve">Sickness </w:t>
            </w:r>
            <w:r>
              <w:rPr>
                <w:b/>
                <w:sz w:val="28"/>
                <w:szCs w:val="28"/>
              </w:rPr>
              <w:t>a</w:t>
            </w:r>
            <w:r w:rsidRPr="008808AA">
              <w:rPr>
                <w:b/>
                <w:sz w:val="28"/>
                <w:szCs w:val="28"/>
              </w:rPr>
              <w:t>bsence</w:t>
            </w:r>
          </w:p>
          <w:p w14:paraId="0857154F" w14:textId="77777777" w:rsidR="00B650D2" w:rsidRDefault="00B650D2" w:rsidP="003160D7">
            <w:pPr>
              <w:jc w:val="center"/>
              <w:rPr>
                <w:b/>
                <w:sz w:val="28"/>
                <w:szCs w:val="28"/>
              </w:rPr>
            </w:pPr>
          </w:p>
          <w:p w14:paraId="0FD924CF" w14:textId="77777777" w:rsidR="00B650D2" w:rsidRPr="008808AA" w:rsidRDefault="00B650D2" w:rsidP="003160D7">
            <w:pPr>
              <w:jc w:val="center"/>
              <w:rPr>
                <w:b/>
                <w:sz w:val="28"/>
                <w:szCs w:val="28"/>
              </w:rPr>
            </w:pPr>
            <w:r>
              <w:rPr>
                <w:b/>
                <w:sz w:val="28"/>
                <w:szCs w:val="28"/>
              </w:rPr>
              <w:t xml:space="preserve">Carbon </w:t>
            </w:r>
            <w:r>
              <w:rPr>
                <w:b/>
                <w:sz w:val="28"/>
                <w:szCs w:val="28"/>
              </w:rPr>
              <w:t>output</w:t>
            </w:r>
          </w:p>
          <w:p w14:paraId="1865DA04" w14:textId="77777777" w:rsidR="00B650D2" w:rsidRDefault="00B650D2"/>
        </w:tc>
      </w:tr>
    </w:tbl>
    <w:p w14:paraId="68E69A3E" w14:textId="77777777" w:rsidR="00B650D2" w:rsidRDefault="00B650D2"/>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none" w:sz="0" w:space="0" w:color="auto"/>
          <w:insideV w:val="none" w:sz="0" w:space="0" w:color="auto"/>
        </w:tblBorders>
        <w:tblLook w:val="04A0" w:firstRow="1" w:lastRow="0" w:firstColumn="1" w:lastColumn="0" w:noHBand="0" w:noVBand="1"/>
      </w:tblPr>
      <w:tblGrid>
        <w:gridCol w:w="4820"/>
      </w:tblGrid>
      <w:tr w:rsidR="004E0CC1" w14:paraId="0A621082" w14:textId="77777777" w:rsidTr="003160D7">
        <w:trPr>
          <w:trHeight w:val="2027"/>
        </w:trPr>
        <w:tc>
          <w:tcPr>
            <w:tcW w:w="4820" w:type="dxa"/>
            <w:shd w:val="clear" w:color="auto" w:fill="DEEAF6" w:themeFill="accent1" w:themeFillTint="33"/>
          </w:tcPr>
          <w:p w14:paraId="71B82712" w14:textId="77777777" w:rsidR="00B650D2" w:rsidRPr="0013696A" w:rsidRDefault="00B650D2" w:rsidP="003160D7">
            <w:pPr>
              <w:jc w:val="center"/>
              <w:rPr>
                <w:b/>
              </w:rPr>
            </w:pPr>
            <w:r w:rsidRPr="0013696A">
              <w:rPr>
                <w:b/>
              </w:rPr>
              <w:t>Objective:</w:t>
            </w:r>
          </w:p>
          <w:p w14:paraId="40BFC29E" w14:textId="77777777" w:rsidR="00B650D2" w:rsidRPr="0013696A" w:rsidRDefault="00B650D2">
            <w:pPr>
              <w:rPr>
                <w:b/>
              </w:rPr>
            </w:pPr>
          </w:p>
          <w:p w14:paraId="179A0297" w14:textId="77777777" w:rsidR="00B650D2" w:rsidRPr="0013696A" w:rsidRDefault="00B650D2">
            <w:pPr>
              <w:rPr>
                <w:b/>
              </w:rPr>
            </w:pPr>
            <w:r w:rsidRPr="0013696A">
              <w:rPr>
                <w:b/>
              </w:rPr>
              <w:t>Good performance is reflected on the top bar of each indicator graph. W</w:t>
            </w:r>
            <w:r>
              <w:rPr>
                <w:b/>
              </w:rPr>
              <w:t>e</w:t>
            </w:r>
            <w:r w:rsidRPr="0013696A">
              <w:rPr>
                <w:b/>
              </w:rPr>
              <w:t xml:space="preserve"> use Red, Amber, and Green to indicate how each indicator is performing. Amber reflects an ind</w:t>
            </w:r>
            <w:r>
              <w:rPr>
                <w:b/>
              </w:rPr>
              <w:t>icator is within 10% of target.</w:t>
            </w:r>
          </w:p>
        </w:tc>
      </w:tr>
    </w:tbl>
    <w:p w14:paraId="6F2000CC" w14:textId="77777777" w:rsidR="00B650D2" w:rsidRDefault="00B650D2" w:rsidP="003160D7">
      <w:pPr>
        <w:jc w:val="center"/>
      </w:pPr>
    </w:p>
    <w:p w14:paraId="39CB8D71" w14:textId="77777777" w:rsidR="00B650D2" w:rsidRDefault="00B650D2">
      <w:r>
        <w:rPr>
          <w:noProof/>
          <w:lang w:eastAsia="en-GB"/>
        </w:rPr>
        <w:drawing>
          <wp:inline distT="0" distB="0" distL="0" distR="0" wp14:anchorId="31E1EC8F" wp14:editId="433D073C">
            <wp:extent cx="2599331" cy="780995"/>
            <wp:effectExtent l="0" t="0" r="0" b="635"/>
            <wp:docPr id="7"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247444" name="Picture 1" descr="Picture"/>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782337" cy="835981"/>
                    </a:xfrm>
                    <a:prstGeom prst="rect">
                      <a:avLst/>
                    </a:prstGeom>
                    <a:noFill/>
                    <a:ln>
                      <a:noFill/>
                    </a:ln>
                  </pic:spPr>
                </pic:pic>
              </a:graphicData>
            </a:graphic>
          </wp:inline>
        </w:drawing>
      </w:r>
    </w:p>
    <w:p w14:paraId="50FE014A" w14:textId="77777777" w:rsidR="00B650D2" w:rsidRDefault="00B650D2">
      <w:r>
        <w:rPr>
          <w:noProof/>
          <w:lang w:eastAsia="en-GB"/>
        </w:rPr>
        <w:lastRenderedPageBreak/>
        <mc:AlternateContent>
          <mc:Choice Requires="wps">
            <w:drawing>
              <wp:anchor distT="0" distB="0" distL="114300" distR="114300" simplePos="0" relativeHeight="251660288" behindDoc="0" locked="0" layoutInCell="1" allowOverlap="1" wp14:anchorId="174B681C" wp14:editId="42E5AF72">
                <wp:simplePos x="0" y="0"/>
                <wp:positionH relativeFrom="margin">
                  <wp:align>left</wp:align>
                </wp:positionH>
                <wp:positionV relativeFrom="paragraph">
                  <wp:posOffset>-195580</wp:posOffset>
                </wp:positionV>
                <wp:extent cx="6604907" cy="310243"/>
                <wp:effectExtent l="0" t="0" r="24765" b="13970"/>
                <wp:wrapNone/>
                <wp:docPr id="4" name="Rectangle 4"/>
                <wp:cNvGraphicFramePr/>
                <a:graphic xmlns:a="http://schemas.openxmlformats.org/drawingml/2006/main">
                  <a:graphicData uri="http://schemas.microsoft.com/office/word/2010/wordprocessingShape">
                    <wps:wsp>
                      <wps:cNvSpPr/>
                      <wps:spPr>
                        <a:xfrm>
                          <a:off x="0" y="0"/>
                          <a:ext cx="6604907" cy="3102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6CC26E" w14:textId="77777777" w:rsidR="00B650D2" w:rsidRPr="005F20DB" w:rsidRDefault="00B650D2"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4" o:spid="_x0000_s1027" style="width:520.05pt;height:24.45pt;margin-top:-15.4pt;margin-left:0;mso-position-horizontal:left;mso-position-horizontal-relative:margin;mso-width-percent:0;mso-width-relative:margin;mso-wrap-distance-bottom:0;mso-wrap-distance-left:9pt;mso-wrap-distance-right:9pt;mso-wrap-distance-top:0;mso-wrap-style:square;position:absolute;visibility:visible;v-text-anchor:middle;z-index:251661312" fillcolor="#5b9bd5" strokecolor="#1f4d78" strokeweight="1pt">
                <v:textbox>
                  <w:txbxContent>
                    <w:p w:rsidR="00B1150A" w:rsidRPr="005F20DB"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txbxContent>
                </v:textbox>
                <w10:wrap anchorx="margin"/>
              </v:rect>
            </w:pict>
          </mc:Fallback>
        </mc:AlternateContent>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586"/>
        <w:gridCol w:w="249"/>
        <w:gridCol w:w="2376"/>
        <w:gridCol w:w="142"/>
        <w:gridCol w:w="2434"/>
        <w:gridCol w:w="512"/>
        <w:gridCol w:w="2147"/>
      </w:tblGrid>
      <w:tr w:rsidR="004E0CC1" w14:paraId="5F920DC3" w14:textId="77777777" w:rsidTr="003160D7">
        <w:trPr>
          <w:trHeight w:val="354"/>
        </w:trPr>
        <w:tc>
          <w:tcPr>
            <w:tcW w:w="10446" w:type="dxa"/>
            <w:gridSpan w:val="7"/>
            <w:shd w:val="clear" w:color="auto" w:fill="5B9BD5" w:themeFill="accent1"/>
          </w:tcPr>
          <w:p w14:paraId="3B845A89" w14:textId="77777777" w:rsidR="00B650D2" w:rsidRPr="005F20DB" w:rsidRDefault="00B650D2" w:rsidP="003160D7">
            <w:pPr>
              <w:rPr>
                <w:b/>
                <w:color w:val="FFFFFF" w:themeColor="background1"/>
                <w:sz w:val="28"/>
                <w:szCs w:val="28"/>
              </w:rPr>
            </w:pPr>
            <w:r>
              <w:rPr>
                <w:b/>
                <w:color w:val="FFFFFF" w:themeColor="background1"/>
                <w:sz w:val="28"/>
                <w:szCs w:val="28"/>
              </w:rPr>
              <w:t>TC00 T</w:t>
            </w:r>
            <w:r w:rsidRPr="006C577F">
              <w:rPr>
                <w:b/>
                <w:color w:val="FFFFFF" w:themeColor="background1"/>
                <w:sz w:val="28"/>
                <w:szCs w:val="28"/>
              </w:rPr>
              <w:t>otal number</w:t>
            </w:r>
            <w:r>
              <w:rPr>
                <w:b/>
                <w:color w:val="FFFFFF" w:themeColor="background1"/>
                <w:sz w:val="28"/>
                <w:szCs w:val="28"/>
              </w:rPr>
              <w:t xml:space="preserve"> of emergency calls received</w:t>
            </w:r>
          </w:p>
        </w:tc>
      </w:tr>
      <w:tr w:rsidR="004E0CC1" w14:paraId="009615F1" w14:textId="77777777" w:rsidTr="003160D7">
        <w:trPr>
          <w:trHeight w:val="567"/>
        </w:trPr>
        <w:tc>
          <w:tcPr>
            <w:tcW w:w="2586" w:type="dxa"/>
            <w:shd w:val="clear" w:color="auto" w:fill="FFFF00"/>
            <w:vAlign w:val="center"/>
          </w:tcPr>
          <w:p w14:paraId="0126E36F" w14:textId="77777777" w:rsidR="00B650D2" w:rsidRDefault="00B650D2" w:rsidP="003160D7">
            <w:pPr>
              <w:jc w:val="center"/>
            </w:pPr>
            <w:r w:rsidRPr="00C63E5E">
              <w:t>Service Plan Target</w:t>
            </w:r>
          </w:p>
        </w:tc>
        <w:tc>
          <w:tcPr>
            <w:tcW w:w="2625" w:type="dxa"/>
            <w:gridSpan w:val="2"/>
            <w:shd w:val="clear" w:color="auto" w:fill="D9E2F3" w:themeFill="accent5" w:themeFillTint="33"/>
            <w:vAlign w:val="center"/>
          </w:tcPr>
          <w:p w14:paraId="4BEFDAE3" w14:textId="77777777" w:rsidR="00B650D2" w:rsidRPr="00C63E5E" w:rsidRDefault="00B650D2" w:rsidP="003160D7">
            <w:pPr>
              <w:jc w:val="center"/>
              <w:rPr>
                <w:b/>
              </w:rPr>
            </w:pPr>
            <w:r>
              <w:rPr>
                <w:b/>
              </w:rPr>
              <w:t xml:space="preserve">No target - </w:t>
            </w:r>
            <w:r w:rsidRPr="00F31295">
              <w:rPr>
                <w:b/>
              </w:rPr>
              <w:t xml:space="preserve">Quality </w:t>
            </w:r>
            <w:r w:rsidRPr="00F31295">
              <w:rPr>
                <w:b/>
              </w:rPr>
              <w:t>Assurance</w:t>
            </w:r>
            <w:r>
              <w:rPr>
                <w:b/>
              </w:rPr>
              <w:t xml:space="preserve"> </w:t>
            </w:r>
          </w:p>
        </w:tc>
        <w:tc>
          <w:tcPr>
            <w:tcW w:w="3088" w:type="dxa"/>
            <w:gridSpan w:val="3"/>
            <w:shd w:val="clear" w:color="auto" w:fill="FFFF00"/>
            <w:vAlign w:val="center"/>
          </w:tcPr>
          <w:p w14:paraId="4BAD0DD5" w14:textId="77777777" w:rsidR="00B650D2" w:rsidRDefault="00B650D2" w:rsidP="003160D7">
            <w:pPr>
              <w:jc w:val="center"/>
            </w:pPr>
            <w:r w:rsidRPr="00C63E5E">
              <w:t>Progress to Date</w:t>
            </w:r>
          </w:p>
        </w:tc>
        <w:tc>
          <w:tcPr>
            <w:tcW w:w="2147" w:type="dxa"/>
            <w:shd w:val="clear" w:color="auto" w:fill="D9E2F3" w:themeFill="accent5" w:themeFillTint="33"/>
            <w:vAlign w:val="center"/>
          </w:tcPr>
          <w:p w14:paraId="48F881BD" w14:textId="77777777" w:rsidR="00B650D2" w:rsidRPr="00D04140" w:rsidRDefault="00B650D2" w:rsidP="003160D7">
            <w:pPr>
              <w:jc w:val="center"/>
              <w:rPr>
                <w:b/>
              </w:rPr>
            </w:pPr>
            <w:r>
              <w:rPr>
                <w:b/>
              </w:rPr>
              <w:t>15991</w:t>
            </w:r>
          </w:p>
        </w:tc>
      </w:tr>
      <w:tr w:rsidR="004E0CC1" w14:paraId="28CE2C3A" w14:textId="77777777" w:rsidTr="00F737A5">
        <w:tc>
          <w:tcPr>
            <w:tcW w:w="10446" w:type="dxa"/>
            <w:gridSpan w:val="7"/>
          </w:tcPr>
          <w:p w14:paraId="18D46FB5" w14:textId="77777777" w:rsidR="00B650D2" w:rsidRDefault="00B650D2" w:rsidP="00573A9F">
            <w:pPr>
              <w:jc w:val="center"/>
            </w:pPr>
            <w:r>
              <w:rPr>
                <w:noProof/>
                <w:lang w:eastAsia="en-GB"/>
              </w:rPr>
              <w:drawing>
                <wp:inline distT="0" distB="0" distL="0" distR="0" wp14:anchorId="008887E0" wp14:editId="10D15F97">
                  <wp:extent cx="5770800" cy="2658717"/>
                  <wp:effectExtent l="0" t="0" r="1905" b="8890"/>
                  <wp:docPr id="1" name="Chart 1">
                    <a:extLst xmlns:a="http://schemas.openxmlformats.org/drawingml/2006/main">
                      <a:ext uri="{FF2B5EF4-FFF2-40B4-BE49-F238E27FC236}">
                        <a16:creationId xmlns:a16="http://schemas.microsoft.com/office/drawing/2014/main" id="{00000000-0008-0000-06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r w:rsidR="004E0CC1" w14:paraId="36A9739A" w14:textId="77777777" w:rsidTr="003160D7">
        <w:tc>
          <w:tcPr>
            <w:tcW w:w="10446" w:type="dxa"/>
            <w:gridSpan w:val="7"/>
            <w:shd w:val="clear" w:color="auto" w:fill="5B9BD5" w:themeFill="accent1"/>
          </w:tcPr>
          <w:p w14:paraId="08837844" w14:textId="77777777" w:rsidR="00B650D2" w:rsidRPr="005359B6" w:rsidRDefault="00B650D2" w:rsidP="003160D7">
            <w:pPr>
              <w:rPr>
                <w:b/>
                <w:color w:val="FFFFFF" w:themeColor="background1"/>
              </w:rPr>
            </w:pPr>
            <w:r w:rsidRPr="005359B6">
              <w:rPr>
                <w:b/>
                <w:color w:val="FFFFFF" w:themeColor="background1"/>
              </w:rPr>
              <w:t>Cumulative Performance</w:t>
            </w:r>
          </w:p>
        </w:tc>
      </w:tr>
      <w:tr w:rsidR="004E0CC1" w14:paraId="1B68A67A" w14:textId="77777777" w:rsidTr="00F737A5">
        <w:trPr>
          <w:trHeight w:val="3643"/>
        </w:trPr>
        <w:tc>
          <w:tcPr>
            <w:tcW w:w="10446" w:type="dxa"/>
            <w:gridSpan w:val="7"/>
          </w:tcPr>
          <w:p w14:paraId="1DC4A131" w14:textId="77777777" w:rsidR="00B650D2" w:rsidRDefault="00B650D2" w:rsidP="003160D7">
            <w:pPr>
              <w:jc w:val="center"/>
              <w:rPr>
                <w:noProof/>
                <w:lang w:eastAsia="en-GB"/>
              </w:rPr>
            </w:pPr>
            <w:r>
              <w:rPr>
                <w:noProof/>
                <w:lang w:eastAsia="en-GB"/>
              </w:rPr>
              <w:drawing>
                <wp:inline distT="0" distB="0" distL="0" distR="0" wp14:anchorId="4B4CD4B6" wp14:editId="5D891994">
                  <wp:extent cx="5770800" cy="2683532"/>
                  <wp:effectExtent l="0" t="0" r="1905" b="2540"/>
                  <wp:docPr id="3" name="Chart 3">
                    <a:extLst xmlns:a="http://schemas.openxmlformats.org/drawingml/2006/main">
                      <a:ext uri="{FF2B5EF4-FFF2-40B4-BE49-F238E27FC236}">
                        <a16:creationId xmlns:a16="http://schemas.microsoft.com/office/drawing/2014/main" id="{00000000-0008-0000-06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c>
      </w:tr>
      <w:tr w:rsidR="004E0CC1" w14:paraId="07BE7C3F" w14:textId="77777777" w:rsidTr="003160D7">
        <w:trPr>
          <w:trHeight w:val="340"/>
        </w:trPr>
        <w:tc>
          <w:tcPr>
            <w:tcW w:w="5211" w:type="dxa"/>
            <w:gridSpan w:val="3"/>
            <w:vMerge w:val="restart"/>
          </w:tcPr>
          <w:p w14:paraId="18C74959" w14:textId="77777777" w:rsidR="00B650D2" w:rsidRPr="00681F4B" w:rsidRDefault="00B650D2" w:rsidP="003160D7">
            <w:pPr>
              <w:rPr>
                <w:b/>
              </w:rPr>
            </w:pPr>
            <w:r w:rsidRPr="00681F4B">
              <w:rPr>
                <w:b/>
              </w:rPr>
              <w:t>TO00 Total number of emergency calls received</w:t>
            </w:r>
          </w:p>
          <w:p w14:paraId="3055A98F" w14:textId="77777777" w:rsidR="00B650D2" w:rsidRPr="00681F4B" w:rsidRDefault="00B650D2" w:rsidP="003160D7">
            <w:pPr>
              <w:rPr>
                <w:b/>
              </w:rPr>
            </w:pPr>
          </w:p>
          <w:p w14:paraId="61569EB3" w14:textId="77777777" w:rsidR="00B650D2" w:rsidRPr="00681F4B" w:rsidRDefault="00B650D2" w:rsidP="003160D7">
            <w:pPr>
              <w:rPr>
                <w:b/>
              </w:rPr>
            </w:pPr>
            <w:r w:rsidRPr="00681F4B">
              <w:rPr>
                <w:b/>
              </w:rPr>
              <w:t>DO22 The % of 999 calls answered within 10 seconds</w:t>
            </w:r>
          </w:p>
          <w:p w14:paraId="53132B5E" w14:textId="77777777" w:rsidR="00B650D2" w:rsidRDefault="00B650D2" w:rsidP="003160D7"/>
        </w:tc>
        <w:tc>
          <w:tcPr>
            <w:tcW w:w="5235" w:type="dxa"/>
            <w:gridSpan w:val="4"/>
            <w:shd w:val="clear" w:color="auto" w:fill="D9E2F3" w:themeFill="accent5" w:themeFillTint="33"/>
          </w:tcPr>
          <w:p w14:paraId="21739608" w14:textId="77777777" w:rsidR="00B650D2" w:rsidRPr="00681F4B" w:rsidRDefault="00B650D2" w:rsidP="003160D7">
            <w:pPr>
              <w:jc w:val="center"/>
              <w:rPr>
                <w:b/>
              </w:rPr>
            </w:pPr>
            <w:r w:rsidRPr="00681F4B">
              <w:rPr>
                <w:b/>
              </w:rPr>
              <w:t>For quality assurance only</w:t>
            </w:r>
          </w:p>
          <w:p w14:paraId="6A4F856C" w14:textId="77777777" w:rsidR="00B650D2" w:rsidRPr="00F65CA6" w:rsidRDefault="00B650D2" w:rsidP="003160D7">
            <w:pPr>
              <w:rPr>
                <w:color w:val="DD898B"/>
              </w:rPr>
            </w:pPr>
          </w:p>
        </w:tc>
      </w:tr>
      <w:tr w:rsidR="004E0CC1" w14:paraId="34DBB26F" w14:textId="77777777" w:rsidTr="003160D7">
        <w:tc>
          <w:tcPr>
            <w:tcW w:w="5211" w:type="dxa"/>
            <w:gridSpan w:val="3"/>
            <w:vMerge/>
          </w:tcPr>
          <w:p w14:paraId="31B1219A" w14:textId="77777777" w:rsidR="00B650D2" w:rsidRDefault="00B650D2" w:rsidP="003160D7"/>
        </w:tc>
        <w:tc>
          <w:tcPr>
            <w:tcW w:w="5235" w:type="dxa"/>
            <w:gridSpan w:val="4"/>
            <w:shd w:val="clear" w:color="auto" w:fill="00B050"/>
          </w:tcPr>
          <w:p w14:paraId="7362EAEE" w14:textId="77777777" w:rsidR="00B650D2" w:rsidRDefault="00B650D2" w:rsidP="003160D7"/>
        </w:tc>
      </w:tr>
      <w:tr w:rsidR="004E0CC1" w14:paraId="2E6B9109" w14:textId="77777777" w:rsidTr="003160D7">
        <w:tc>
          <w:tcPr>
            <w:tcW w:w="2586" w:type="dxa"/>
          </w:tcPr>
          <w:p w14:paraId="6B591D78" w14:textId="77777777" w:rsidR="00B650D2" w:rsidRDefault="00B650D2" w:rsidP="003160D7"/>
          <w:p w14:paraId="54CC79EE" w14:textId="77777777" w:rsidR="00B650D2" w:rsidRDefault="00B650D2" w:rsidP="003160D7">
            <w:r>
              <w:t>TC00</w:t>
            </w:r>
          </w:p>
        </w:tc>
        <w:tc>
          <w:tcPr>
            <w:tcW w:w="7860" w:type="dxa"/>
            <w:gridSpan w:val="6"/>
          </w:tcPr>
          <w:p w14:paraId="436E8AAF" w14:textId="77777777" w:rsidR="00B650D2" w:rsidRDefault="00B650D2" w:rsidP="003160D7">
            <w:r>
              <w:t>By 31</w:t>
            </w:r>
            <w:r w:rsidRPr="00530003">
              <w:rPr>
                <w:vertAlign w:val="superscript"/>
              </w:rPr>
              <w:t>st</w:t>
            </w:r>
            <w:r>
              <w:t xml:space="preserve"> December 2023 Fire Control had received 15991 emergency calls.  This was 4299 fewer calls than</w:t>
            </w:r>
            <w:r w:rsidRPr="008A7A59">
              <w:t xml:space="preserve"> </w:t>
            </w:r>
            <w:r>
              <w:t xml:space="preserve">this time </w:t>
            </w:r>
            <w:r w:rsidRPr="008A7A59">
              <w:t>last year</w:t>
            </w:r>
            <w:r>
              <w:t>, when 20290</w:t>
            </w:r>
            <w:r w:rsidRPr="008A7A59">
              <w:t xml:space="preserve"> calls were received.  </w:t>
            </w:r>
          </w:p>
          <w:p w14:paraId="02CB32A5" w14:textId="77777777" w:rsidR="00B650D2" w:rsidRDefault="00B650D2" w:rsidP="003160D7"/>
          <w:p w14:paraId="486299F7" w14:textId="77777777" w:rsidR="00B650D2" w:rsidRDefault="00B650D2" w:rsidP="003160D7">
            <w:r>
              <w:t>November (1631) saw a very similar number of calls to November 2022 (1694) reflecting another relatively</w:t>
            </w:r>
            <w:r>
              <w:t xml:space="preserve"> quiet Bonfire period.</w:t>
            </w:r>
          </w:p>
          <w:p w14:paraId="09B97127" w14:textId="77777777" w:rsidR="00B650D2" w:rsidRPr="008A7A59" w:rsidRDefault="00B650D2" w:rsidP="003160D7"/>
          <w:p w14:paraId="2A36962C" w14:textId="77777777" w:rsidR="00B650D2" w:rsidRDefault="00B650D2" w:rsidP="003160D7">
            <w:r w:rsidRPr="008A7A59">
              <w:t>This indicator does not have a target it is monitored for quality assurance only.</w:t>
            </w:r>
          </w:p>
          <w:p w14:paraId="0B2BE7E2" w14:textId="77777777" w:rsidR="00B650D2" w:rsidRPr="008A7A59" w:rsidRDefault="00B650D2" w:rsidP="003160D7"/>
        </w:tc>
      </w:tr>
      <w:tr w:rsidR="004E0CC1" w14:paraId="6B2C284A" w14:textId="77777777" w:rsidTr="003160D7">
        <w:tc>
          <w:tcPr>
            <w:tcW w:w="2586" w:type="dxa"/>
          </w:tcPr>
          <w:p w14:paraId="6FA7C821" w14:textId="77777777" w:rsidR="00B650D2" w:rsidRDefault="00B650D2" w:rsidP="003160D7"/>
          <w:p w14:paraId="12B58D3B" w14:textId="77777777" w:rsidR="00B650D2" w:rsidRDefault="00B650D2" w:rsidP="003160D7">
            <w:r>
              <w:t>DR22</w:t>
            </w:r>
          </w:p>
        </w:tc>
        <w:tc>
          <w:tcPr>
            <w:tcW w:w="7860" w:type="dxa"/>
            <w:gridSpan w:val="6"/>
          </w:tcPr>
          <w:p w14:paraId="59F7D1FF" w14:textId="77777777" w:rsidR="00B650D2" w:rsidRDefault="00B650D2" w:rsidP="003160D7">
            <w:r>
              <w:t xml:space="preserve">Cumulatively 97.9% of 999 calls were answered within 10 seconds.  This performance achieves the 96% target.  </w:t>
            </w:r>
          </w:p>
          <w:p w14:paraId="133FFB02" w14:textId="77777777" w:rsidR="00B650D2" w:rsidRDefault="00B650D2" w:rsidP="003160D7"/>
          <w:p w14:paraId="188D2743" w14:textId="77777777" w:rsidR="00B650D2" w:rsidRDefault="00B650D2" w:rsidP="003160D7"/>
          <w:p w14:paraId="7A27FD45" w14:textId="77777777" w:rsidR="00B650D2" w:rsidRDefault="00B650D2" w:rsidP="003160D7"/>
        </w:tc>
      </w:tr>
      <w:tr w:rsidR="004E0CC1" w14:paraId="1B7F76FC" w14:textId="77777777" w:rsidTr="003160D7">
        <w:tc>
          <w:tcPr>
            <w:tcW w:w="10446" w:type="dxa"/>
            <w:gridSpan w:val="7"/>
            <w:shd w:val="clear" w:color="auto" w:fill="5B9BD5" w:themeFill="accent1"/>
          </w:tcPr>
          <w:p w14:paraId="18129233" w14:textId="77777777" w:rsidR="00B650D2" w:rsidRPr="005F20DB" w:rsidRDefault="00B650D2">
            <w:pPr>
              <w:rPr>
                <w:b/>
                <w:color w:val="FFFF00"/>
                <w:sz w:val="28"/>
                <w:szCs w:val="28"/>
              </w:rPr>
            </w:pPr>
            <w:r w:rsidRPr="00681F4B">
              <w:rPr>
                <w:b/>
                <w:color w:val="FFFFFF" w:themeColor="background1"/>
                <w:sz w:val="28"/>
                <w:szCs w:val="28"/>
              </w:rPr>
              <w:lastRenderedPageBreak/>
              <w:t>TC01 The total number of incidents attended</w:t>
            </w:r>
          </w:p>
        </w:tc>
      </w:tr>
      <w:tr w:rsidR="004E0CC1" w14:paraId="301B95BE" w14:textId="77777777" w:rsidTr="00AB1D40">
        <w:tc>
          <w:tcPr>
            <w:tcW w:w="2835" w:type="dxa"/>
            <w:gridSpan w:val="2"/>
            <w:shd w:val="clear" w:color="auto" w:fill="FFFF00"/>
            <w:vAlign w:val="center"/>
          </w:tcPr>
          <w:p w14:paraId="04046DD4" w14:textId="77777777" w:rsidR="00B650D2" w:rsidRDefault="00B650D2" w:rsidP="003160D7">
            <w:pPr>
              <w:jc w:val="center"/>
            </w:pPr>
            <w:r>
              <w:t xml:space="preserve">Service Plan </w:t>
            </w:r>
            <w:r w:rsidRPr="00C63E5E">
              <w:t>Target</w:t>
            </w:r>
          </w:p>
          <w:p w14:paraId="38F60E0C" w14:textId="77777777" w:rsidR="00B650D2" w:rsidRDefault="00B650D2" w:rsidP="003160D7">
            <w:pPr>
              <w:jc w:val="center"/>
            </w:pPr>
            <w:r>
              <w:t>Apr-Dec 2023</w:t>
            </w:r>
          </w:p>
        </w:tc>
        <w:tc>
          <w:tcPr>
            <w:tcW w:w="2518" w:type="dxa"/>
            <w:gridSpan w:val="2"/>
            <w:shd w:val="clear" w:color="auto" w:fill="D9E2F3" w:themeFill="accent5" w:themeFillTint="33"/>
            <w:vAlign w:val="center"/>
          </w:tcPr>
          <w:p w14:paraId="5285A665" w14:textId="77777777" w:rsidR="00B650D2" w:rsidRPr="004D4B15" w:rsidRDefault="00B650D2" w:rsidP="003160D7">
            <w:pPr>
              <w:jc w:val="center"/>
              <w:rPr>
                <w:b/>
              </w:rPr>
            </w:pPr>
            <w:r>
              <w:rPr>
                <w:b/>
              </w:rPr>
              <w:t>15149</w:t>
            </w:r>
          </w:p>
        </w:tc>
        <w:tc>
          <w:tcPr>
            <w:tcW w:w="2434" w:type="dxa"/>
            <w:shd w:val="clear" w:color="auto" w:fill="FFFF00"/>
            <w:vAlign w:val="center"/>
          </w:tcPr>
          <w:p w14:paraId="6C4D47D5" w14:textId="77777777" w:rsidR="00B650D2" w:rsidRDefault="00B650D2" w:rsidP="003160D7">
            <w:pPr>
              <w:jc w:val="center"/>
            </w:pPr>
            <w:r w:rsidRPr="00C63E5E">
              <w:t>Progress to Date</w:t>
            </w:r>
          </w:p>
        </w:tc>
        <w:tc>
          <w:tcPr>
            <w:tcW w:w="2659" w:type="dxa"/>
            <w:gridSpan w:val="2"/>
            <w:shd w:val="clear" w:color="auto" w:fill="00B050"/>
            <w:vAlign w:val="center"/>
          </w:tcPr>
          <w:p w14:paraId="6BC999BB" w14:textId="77777777" w:rsidR="00B650D2" w:rsidRPr="00302A5A" w:rsidRDefault="00B650D2" w:rsidP="003160D7">
            <w:pPr>
              <w:jc w:val="center"/>
              <w:rPr>
                <w:b/>
                <w:color w:val="00B050"/>
              </w:rPr>
            </w:pPr>
            <w:r w:rsidRPr="00321466">
              <w:rPr>
                <w:b/>
              </w:rPr>
              <w:t>13614</w:t>
            </w:r>
          </w:p>
        </w:tc>
      </w:tr>
      <w:tr w:rsidR="004E0CC1" w14:paraId="675C4A18" w14:textId="77777777" w:rsidTr="00F737A5">
        <w:tc>
          <w:tcPr>
            <w:tcW w:w="10446" w:type="dxa"/>
            <w:gridSpan w:val="7"/>
          </w:tcPr>
          <w:p w14:paraId="2D4C68C6" w14:textId="77777777" w:rsidR="00B650D2" w:rsidRDefault="00B650D2" w:rsidP="00935CB8">
            <w:pPr>
              <w:jc w:val="center"/>
              <w:rPr>
                <w:noProof/>
                <w:lang w:eastAsia="en-GB"/>
              </w:rPr>
            </w:pPr>
            <w:r>
              <w:rPr>
                <w:noProof/>
                <w:lang w:eastAsia="en-GB"/>
              </w:rPr>
              <w:drawing>
                <wp:inline distT="0" distB="0" distL="0" distR="0" wp14:anchorId="6FA7219F" wp14:editId="79C1CF50">
                  <wp:extent cx="5770800" cy="2658717"/>
                  <wp:effectExtent l="0" t="0" r="1905" b="8890"/>
                  <wp:docPr id="5" name="Chart 5">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r w:rsidR="004E0CC1" w14:paraId="6638C8E8" w14:textId="77777777" w:rsidTr="003160D7">
        <w:tc>
          <w:tcPr>
            <w:tcW w:w="10446" w:type="dxa"/>
            <w:gridSpan w:val="7"/>
            <w:shd w:val="clear" w:color="auto" w:fill="5B9BD5" w:themeFill="accent1"/>
          </w:tcPr>
          <w:p w14:paraId="5A937693" w14:textId="77777777" w:rsidR="00B650D2" w:rsidRPr="005359B6" w:rsidRDefault="00B650D2">
            <w:pPr>
              <w:rPr>
                <w:b/>
                <w:color w:val="FFFFFF" w:themeColor="background1"/>
              </w:rPr>
            </w:pPr>
            <w:r w:rsidRPr="005359B6">
              <w:rPr>
                <w:b/>
                <w:color w:val="FFFFFF" w:themeColor="background1"/>
              </w:rPr>
              <w:t xml:space="preserve">Cumulative </w:t>
            </w:r>
            <w:r w:rsidRPr="005359B6">
              <w:rPr>
                <w:b/>
                <w:color w:val="FFFFFF" w:themeColor="background1"/>
              </w:rPr>
              <w:t>Performance</w:t>
            </w:r>
          </w:p>
        </w:tc>
      </w:tr>
      <w:tr w:rsidR="004E0CC1" w14:paraId="7450D672" w14:textId="77777777" w:rsidTr="0075680C">
        <w:trPr>
          <w:trHeight w:val="4201"/>
        </w:trPr>
        <w:tc>
          <w:tcPr>
            <w:tcW w:w="10446" w:type="dxa"/>
            <w:gridSpan w:val="7"/>
          </w:tcPr>
          <w:p w14:paraId="2B804E84" w14:textId="77777777" w:rsidR="00B650D2" w:rsidRDefault="00B650D2" w:rsidP="003160D7">
            <w:pPr>
              <w:jc w:val="center"/>
              <w:rPr>
                <w:noProof/>
                <w:lang w:eastAsia="en-GB"/>
              </w:rPr>
            </w:pPr>
            <w:r>
              <w:rPr>
                <w:noProof/>
                <w:lang w:eastAsia="en-GB"/>
              </w:rPr>
              <w:drawing>
                <wp:inline distT="0" distB="0" distL="0" distR="0" wp14:anchorId="1B3B2853" wp14:editId="4786C029">
                  <wp:extent cx="5785485" cy="269494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5697" name="Picture 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785485" cy="2694940"/>
                          </a:xfrm>
                          <a:prstGeom prst="rect">
                            <a:avLst/>
                          </a:prstGeom>
                          <a:noFill/>
                        </pic:spPr>
                      </pic:pic>
                    </a:graphicData>
                  </a:graphic>
                </wp:inline>
              </w:drawing>
            </w:r>
          </w:p>
        </w:tc>
      </w:tr>
      <w:tr w:rsidR="004E0CC1" w14:paraId="22CE72C7" w14:textId="77777777" w:rsidTr="00AB1D40">
        <w:trPr>
          <w:trHeight w:val="567"/>
        </w:trPr>
        <w:tc>
          <w:tcPr>
            <w:tcW w:w="5353" w:type="dxa"/>
            <w:gridSpan w:val="4"/>
          </w:tcPr>
          <w:p w14:paraId="5C3FD1F7" w14:textId="77777777" w:rsidR="00B650D2" w:rsidRPr="00681F4B" w:rsidRDefault="00B650D2" w:rsidP="003160D7">
            <w:pPr>
              <w:rPr>
                <w:b/>
              </w:rPr>
            </w:pPr>
            <w:r w:rsidRPr="00681F4B">
              <w:rPr>
                <w:b/>
              </w:rPr>
              <w:t>TC01 Total number of incidents attended</w:t>
            </w:r>
          </w:p>
          <w:p w14:paraId="1766E8FE" w14:textId="77777777" w:rsidR="00B650D2" w:rsidRDefault="00B650D2" w:rsidP="003160D7"/>
        </w:tc>
        <w:tc>
          <w:tcPr>
            <w:tcW w:w="5093" w:type="dxa"/>
            <w:gridSpan w:val="3"/>
            <w:shd w:val="clear" w:color="auto" w:fill="00B050"/>
          </w:tcPr>
          <w:p w14:paraId="62052034" w14:textId="77777777" w:rsidR="00B650D2" w:rsidRDefault="00B650D2" w:rsidP="003160D7"/>
          <w:p w14:paraId="79B1531D" w14:textId="77777777" w:rsidR="00B650D2" w:rsidRDefault="00B650D2" w:rsidP="003160D7"/>
        </w:tc>
      </w:tr>
      <w:tr w:rsidR="004E0CC1" w14:paraId="1EEADEAA" w14:textId="77777777" w:rsidTr="003160D7">
        <w:tc>
          <w:tcPr>
            <w:tcW w:w="2835" w:type="dxa"/>
            <w:gridSpan w:val="2"/>
          </w:tcPr>
          <w:p w14:paraId="6515FDDA" w14:textId="77777777" w:rsidR="00B650D2" w:rsidRDefault="00B650D2" w:rsidP="003160D7"/>
          <w:p w14:paraId="17B891EE" w14:textId="77777777" w:rsidR="00B650D2" w:rsidRDefault="00B650D2" w:rsidP="003160D7">
            <w:r>
              <w:t>TC01</w:t>
            </w:r>
          </w:p>
        </w:tc>
        <w:tc>
          <w:tcPr>
            <w:tcW w:w="7611" w:type="dxa"/>
            <w:gridSpan w:val="5"/>
          </w:tcPr>
          <w:p w14:paraId="1EC302FF" w14:textId="77777777" w:rsidR="00B650D2" w:rsidRDefault="00B650D2" w:rsidP="003160D7">
            <w:r>
              <w:t>Performance against all key performance indicators (KPI’s) has remained under target for this reporting period except false alarms and special service calls.   We do not want to discourage or reduce some types of false alarm (Good Intent)  and special serv</w:t>
            </w:r>
            <w:r>
              <w:t xml:space="preserve">ices (e.g. assisting the ambulance service or Police).  </w:t>
            </w:r>
          </w:p>
          <w:p w14:paraId="3A56B892" w14:textId="77777777" w:rsidR="00B650D2" w:rsidRDefault="00B650D2" w:rsidP="003160D7"/>
          <w:p w14:paraId="2BF37AE7" w14:textId="77777777" w:rsidR="00B650D2" w:rsidRDefault="00B650D2" w:rsidP="002E6BFC">
            <w:r>
              <w:t xml:space="preserve">During this period there have been 1238 fewer incidents attended (13614) than at this time last year (14852).  The Bonfire period saw fewer incidents than in 2022, in November 2023 crews </w:t>
            </w:r>
            <w:r>
              <w:t>attended 1387 compared to 1404 in November 2022</w:t>
            </w:r>
          </w:p>
          <w:p w14:paraId="36BEBCCC" w14:textId="77777777" w:rsidR="00B650D2" w:rsidRDefault="00B650D2" w:rsidP="0043152B"/>
          <w:p w14:paraId="4E5D9F85" w14:textId="77777777" w:rsidR="00B650D2" w:rsidRDefault="00B650D2" w:rsidP="0043152B">
            <w:r>
              <w:t xml:space="preserve">The number of Special Service incidents attended (3968) are 170  than in previous years (4138 in the 3rd quarter of 2022-23).   MFRS continues to assist partner agencies on a regular basis.  </w:t>
            </w:r>
          </w:p>
          <w:p w14:paraId="78BDA11B" w14:textId="77777777" w:rsidR="00B650D2" w:rsidRDefault="00B650D2" w:rsidP="003160D7"/>
          <w:p w14:paraId="1DDA8950" w14:textId="77777777" w:rsidR="00B650D2" w:rsidRDefault="00B650D2" w:rsidP="00A11959"/>
          <w:p w14:paraId="63D28951" w14:textId="77777777" w:rsidR="00B650D2" w:rsidRDefault="00B650D2" w:rsidP="00A11959"/>
        </w:tc>
      </w:tr>
    </w:tbl>
    <w:p w14:paraId="336CEB5D" w14:textId="77777777" w:rsidR="00B650D2" w:rsidRDefault="00B650D2"/>
    <w:tbl>
      <w:tblPr>
        <w:tblStyle w:val="TableGrid"/>
        <w:tblW w:w="10493"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35"/>
        <w:gridCol w:w="2235"/>
        <w:gridCol w:w="3141"/>
        <w:gridCol w:w="2282"/>
      </w:tblGrid>
      <w:tr w:rsidR="004E0CC1" w14:paraId="088EE3C8" w14:textId="77777777" w:rsidTr="003160D7">
        <w:tc>
          <w:tcPr>
            <w:tcW w:w="10493" w:type="dxa"/>
            <w:gridSpan w:val="4"/>
            <w:shd w:val="clear" w:color="auto" w:fill="5B9BD5" w:themeFill="accent1"/>
          </w:tcPr>
          <w:p w14:paraId="748E0CD3" w14:textId="77777777" w:rsidR="00B650D2" w:rsidRPr="005F20DB" w:rsidRDefault="00B650D2" w:rsidP="003160D7">
            <w:pPr>
              <w:rPr>
                <w:b/>
                <w:color w:val="FFFF00"/>
                <w:sz w:val="28"/>
                <w:szCs w:val="28"/>
              </w:rPr>
            </w:pPr>
            <w:r w:rsidRPr="00681F4B">
              <w:rPr>
                <w:b/>
                <w:color w:val="FFFFFF" w:themeColor="background1"/>
                <w:sz w:val="28"/>
                <w:szCs w:val="28"/>
              </w:rPr>
              <w:t>TC02 Total</w:t>
            </w:r>
            <w:r w:rsidRPr="00681F4B">
              <w:rPr>
                <w:b/>
                <w:color w:val="FFFFFF" w:themeColor="background1"/>
                <w:sz w:val="28"/>
                <w:szCs w:val="28"/>
              </w:rPr>
              <w:t xml:space="preserve"> number of fires attended in Merseyside</w:t>
            </w:r>
          </w:p>
        </w:tc>
      </w:tr>
      <w:tr w:rsidR="004E0CC1" w14:paraId="3F6A2B72" w14:textId="77777777" w:rsidTr="003160D7">
        <w:tc>
          <w:tcPr>
            <w:tcW w:w="2835" w:type="dxa"/>
            <w:shd w:val="clear" w:color="auto" w:fill="FFFF00"/>
            <w:vAlign w:val="center"/>
          </w:tcPr>
          <w:p w14:paraId="6CC51D23" w14:textId="77777777" w:rsidR="00B650D2" w:rsidRDefault="00B650D2" w:rsidP="003160D7">
            <w:pPr>
              <w:jc w:val="center"/>
            </w:pPr>
            <w:r>
              <w:t xml:space="preserve">Service Plan </w:t>
            </w:r>
            <w:r w:rsidRPr="00C63E5E">
              <w:t>Target</w:t>
            </w:r>
          </w:p>
          <w:p w14:paraId="60FBAB5E" w14:textId="77777777" w:rsidR="00B650D2" w:rsidRDefault="00B650D2" w:rsidP="003160D7">
            <w:pPr>
              <w:jc w:val="center"/>
            </w:pPr>
            <w:r>
              <w:t>Apr-Dec 2023</w:t>
            </w:r>
          </w:p>
        </w:tc>
        <w:tc>
          <w:tcPr>
            <w:tcW w:w="2235" w:type="dxa"/>
            <w:shd w:val="clear" w:color="auto" w:fill="D9E2F3" w:themeFill="accent5" w:themeFillTint="33"/>
            <w:vAlign w:val="center"/>
          </w:tcPr>
          <w:p w14:paraId="31EA2578" w14:textId="77777777" w:rsidR="00B650D2" w:rsidRPr="004D4B15" w:rsidRDefault="00B650D2" w:rsidP="003160D7">
            <w:pPr>
              <w:jc w:val="center"/>
              <w:rPr>
                <w:b/>
              </w:rPr>
            </w:pPr>
            <w:r>
              <w:rPr>
                <w:b/>
              </w:rPr>
              <w:t>5850</w:t>
            </w:r>
          </w:p>
        </w:tc>
        <w:tc>
          <w:tcPr>
            <w:tcW w:w="3141" w:type="dxa"/>
            <w:shd w:val="clear" w:color="auto" w:fill="FFFF00"/>
            <w:vAlign w:val="center"/>
          </w:tcPr>
          <w:p w14:paraId="7EAC2AC8" w14:textId="77777777" w:rsidR="00B650D2" w:rsidRDefault="00B650D2" w:rsidP="003160D7">
            <w:pPr>
              <w:jc w:val="center"/>
            </w:pPr>
            <w:r w:rsidRPr="00C63E5E">
              <w:t>Progress to Date</w:t>
            </w:r>
          </w:p>
        </w:tc>
        <w:tc>
          <w:tcPr>
            <w:tcW w:w="2282" w:type="dxa"/>
            <w:shd w:val="clear" w:color="auto" w:fill="00B050"/>
            <w:vAlign w:val="center"/>
          </w:tcPr>
          <w:p w14:paraId="2DF231B8" w14:textId="77777777" w:rsidR="00B650D2" w:rsidRPr="00195C25" w:rsidRDefault="00B650D2" w:rsidP="003160D7">
            <w:pPr>
              <w:jc w:val="center"/>
              <w:rPr>
                <w:b/>
              </w:rPr>
            </w:pPr>
            <w:r>
              <w:rPr>
                <w:b/>
              </w:rPr>
              <w:t>4433</w:t>
            </w:r>
          </w:p>
        </w:tc>
      </w:tr>
      <w:tr w:rsidR="004E0CC1" w14:paraId="2920730D" w14:textId="77777777" w:rsidTr="00F737A5">
        <w:tc>
          <w:tcPr>
            <w:tcW w:w="10493" w:type="dxa"/>
            <w:gridSpan w:val="4"/>
          </w:tcPr>
          <w:p w14:paraId="671198D1" w14:textId="77777777" w:rsidR="00B650D2" w:rsidRDefault="00B650D2" w:rsidP="00F8744C">
            <w:pPr>
              <w:jc w:val="center"/>
              <w:rPr>
                <w:noProof/>
                <w:lang w:eastAsia="en-GB"/>
              </w:rPr>
            </w:pPr>
            <w:r>
              <w:rPr>
                <w:noProof/>
                <w:lang w:eastAsia="en-GB"/>
              </w:rPr>
              <w:drawing>
                <wp:inline distT="0" distB="0" distL="0" distR="0" wp14:anchorId="1786ADBA" wp14:editId="24C38154">
                  <wp:extent cx="5770800" cy="2658717"/>
                  <wp:effectExtent l="0" t="0" r="1905" b="8890"/>
                  <wp:docPr id="8" name="Chart 8">
                    <a:extLst xmlns:a="http://schemas.openxmlformats.org/drawingml/2006/main">
                      <a:ext uri="{FF2B5EF4-FFF2-40B4-BE49-F238E27FC236}">
                        <a16:creationId xmlns:a16="http://schemas.microsoft.com/office/drawing/2014/main"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r w:rsidR="004E0CC1" w14:paraId="2D42F776" w14:textId="77777777" w:rsidTr="003160D7">
        <w:tc>
          <w:tcPr>
            <w:tcW w:w="10493" w:type="dxa"/>
            <w:gridSpan w:val="4"/>
            <w:shd w:val="clear" w:color="auto" w:fill="5B9BD5" w:themeFill="accent1"/>
          </w:tcPr>
          <w:p w14:paraId="5CEA8D7E" w14:textId="77777777" w:rsidR="00B650D2" w:rsidRPr="005359B6" w:rsidRDefault="00B650D2" w:rsidP="003160D7">
            <w:pPr>
              <w:rPr>
                <w:b/>
                <w:color w:val="FFFFFF" w:themeColor="background1"/>
              </w:rPr>
            </w:pPr>
            <w:r w:rsidRPr="005359B6">
              <w:rPr>
                <w:b/>
                <w:color w:val="FFFFFF" w:themeColor="background1"/>
              </w:rPr>
              <w:t>Cumulative Performance</w:t>
            </w:r>
          </w:p>
        </w:tc>
      </w:tr>
      <w:tr w:rsidR="004E0CC1" w14:paraId="3E953CFD" w14:textId="77777777" w:rsidTr="00F737A5">
        <w:tc>
          <w:tcPr>
            <w:tcW w:w="10493" w:type="dxa"/>
            <w:gridSpan w:val="4"/>
          </w:tcPr>
          <w:p w14:paraId="7D1C37CA" w14:textId="77777777" w:rsidR="00B650D2" w:rsidRDefault="00B650D2" w:rsidP="00F8744C">
            <w:pPr>
              <w:jc w:val="center"/>
              <w:rPr>
                <w:noProof/>
                <w:lang w:eastAsia="en-GB"/>
              </w:rPr>
            </w:pPr>
            <w:r>
              <w:rPr>
                <w:noProof/>
                <w:lang w:eastAsia="en-GB"/>
              </w:rPr>
              <w:drawing>
                <wp:inline distT="0" distB="0" distL="0" distR="0" wp14:anchorId="7B45354D" wp14:editId="291AB73F">
                  <wp:extent cx="5770800" cy="2669925"/>
                  <wp:effectExtent l="0" t="0" r="1905" b="16510"/>
                  <wp:docPr id="9" name="Chart 9">
                    <a:extLst xmlns:a="http://schemas.openxmlformats.org/drawingml/2006/main">
                      <a:ext uri="{FF2B5EF4-FFF2-40B4-BE49-F238E27FC236}">
                        <a16:creationId xmlns:a16="http://schemas.microsoft.com/office/drawing/2014/main" id="{00000000-0008-0000-06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4E0CC1" w14:paraId="34EC0784" w14:textId="77777777" w:rsidTr="003160D7">
        <w:trPr>
          <w:trHeight w:val="567"/>
        </w:trPr>
        <w:tc>
          <w:tcPr>
            <w:tcW w:w="5070" w:type="dxa"/>
            <w:gridSpan w:val="2"/>
          </w:tcPr>
          <w:p w14:paraId="7E519271" w14:textId="77777777" w:rsidR="00B650D2" w:rsidRPr="004B0F95" w:rsidRDefault="00B650D2" w:rsidP="003160D7">
            <w:pPr>
              <w:rPr>
                <w:b/>
              </w:rPr>
            </w:pPr>
            <w:r w:rsidRPr="004B0F95">
              <w:rPr>
                <w:b/>
              </w:rPr>
              <w:t>TC02 Total number of Fires attended in Merseyside</w:t>
            </w:r>
          </w:p>
          <w:p w14:paraId="1A6C05C5" w14:textId="77777777" w:rsidR="00B650D2" w:rsidRDefault="00B650D2" w:rsidP="003160D7"/>
        </w:tc>
        <w:tc>
          <w:tcPr>
            <w:tcW w:w="5423" w:type="dxa"/>
            <w:gridSpan w:val="2"/>
            <w:shd w:val="clear" w:color="auto" w:fill="00B050"/>
          </w:tcPr>
          <w:p w14:paraId="3D260ED7" w14:textId="77777777" w:rsidR="00B650D2" w:rsidRDefault="00B650D2" w:rsidP="003160D7"/>
          <w:p w14:paraId="78141163" w14:textId="77777777" w:rsidR="00B650D2" w:rsidRDefault="00B650D2" w:rsidP="003160D7"/>
        </w:tc>
      </w:tr>
      <w:tr w:rsidR="004E0CC1" w14:paraId="3C7E1F1F" w14:textId="77777777" w:rsidTr="003160D7">
        <w:tc>
          <w:tcPr>
            <w:tcW w:w="2835" w:type="dxa"/>
          </w:tcPr>
          <w:p w14:paraId="5DE912DE" w14:textId="77777777" w:rsidR="00B650D2" w:rsidRDefault="00B650D2" w:rsidP="003160D7"/>
          <w:p w14:paraId="5185A62A" w14:textId="77777777" w:rsidR="00B650D2" w:rsidRPr="004B0F95" w:rsidRDefault="00B650D2" w:rsidP="003160D7">
            <w:pPr>
              <w:rPr>
                <w:b/>
              </w:rPr>
            </w:pPr>
            <w:r w:rsidRPr="00376821">
              <w:rPr>
                <w:b/>
              </w:rPr>
              <w:t>TC02</w:t>
            </w:r>
          </w:p>
        </w:tc>
        <w:tc>
          <w:tcPr>
            <w:tcW w:w="7658" w:type="dxa"/>
            <w:gridSpan w:val="3"/>
          </w:tcPr>
          <w:p w14:paraId="0F447918" w14:textId="77777777" w:rsidR="00B650D2" w:rsidRDefault="00B650D2" w:rsidP="00670DAB">
            <w:r>
              <w:t>Crews attended 4433 fires from April to December 2023.  This is 1442 fewer than in 2022 (5875) and also 1417 below the cumulative target of 5850.</w:t>
            </w:r>
          </w:p>
          <w:p w14:paraId="50E64D68" w14:textId="77777777" w:rsidR="00B650D2" w:rsidRDefault="00B650D2" w:rsidP="00670DAB"/>
          <w:p w14:paraId="2E3477C2" w14:textId="77777777" w:rsidR="00B650D2" w:rsidRDefault="00B650D2" w:rsidP="003160D7">
            <w:r>
              <w:t>This reporting period, October to December saw 1082 fires. Numbers of fires have varied throughout the year f</w:t>
            </w:r>
            <w:r>
              <w:t xml:space="preserve">rom the peak in June which saw 750 fires while December saw 273.   </w:t>
            </w:r>
          </w:p>
          <w:p w14:paraId="2DE31350" w14:textId="77777777" w:rsidR="00B650D2" w:rsidRDefault="00B650D2" w:rsidP="003160D7"/>
          <w:p w14:paraId="7B68A2A0" w14:textId="77777777" w:rsidR="00B650D2" w:rsidRDefault="00B650D2" w:rsidP="003160D7">
            <w:r>
              <w:t>Arson teams and high visibility patrols alongside our targeted prevention work continue to improve outcomes for the Service.</w:t>
            </w:r>
          </w:p>
          <w:p w14:paraId="7833C7A9" w14:textId="77777777" w:rsidR="00B650D2" w:rsidRDefault="00B650D2" w:rsidP="003160D7"/>
          <w:p w14:paraId="757FA231" w14:textId="77777777" w:rsidR="00B650D2" w:rsidRDefault="00B650D2" w:rsidP="003160D7"/>
        </w:tc>
      </w:tr>
    </w:tbl>
    <w:p w14:paraId="4D7CC2B3" w14:textId="77777777" w:rsidR="00B650D2" w:rsidRDefault="00B650D2"/>
    <w:p w14:paraId="46463015" w14:textId="77777777" w:rsidR="00B650D2" w:rsidRDefault="00B650D2"/>
    <w:p w14:paraId="0DAF746B" w14:textId="77777777" w:rsidR="00B650D2" w:rsidRDefault="00B650D2"/>
    <w:p w14:paraId="1F11D7BB" w14:textId="77777777" w:rsidR="00B650D2" w:rsidRDefault="00B650D2"/>
    <w:tbl>
      <w:tblPr>
        <w:tblStyle w:val="TableGrid"/>
        <w:tblW w:w="10550"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179"/>
        <w:gridCol w:w="88"/>
        <w:gridCol w:w="2008"/>
        <w:gridCol w:w="434"/>
        <w:gridCol w:w="2936"/>
        <w:gridCol w:w="1905"/>
      </w:tblGrid>
      <w:tr w:rsidR="004E0CC1" w14:paraId="0344D655" w14:textId="77777777" w:rsidTr="003160D7">
        <w:tc>
          <w:tcPr>
            <w:tcW w:w="10550" w:type="dxa"/>
            <w:gridSpan w:val="6"/>
            <w:shd w:val="clear" w:color="auto" w:fill="5B9BD5" w:themeFill="accent1"/>
          </w:tcPr>
          <w:p w14:paraId="0A8DF6E1" w14:textId="77777777" w:rsidR="00B650D2" w:rsidRPr="005F20DB" w:rsidRDefault="00B650D2" w:rsidP="003160D7">
            <w:pPr>
              <w:rPr>
                <w:b/>
                <w:color w:val="FFFF00"/>
                <w:sz w:val="28"/>
                <w:szCs w:val="28"/>
              </w:rPr>
            </w:pPr>
            <w:r w:rsidRPr="00681F4B">
              <w:rPr>
                <w:b/>
                <w:color w:val="FFFFFF" w:themeColor="background1"/>
                <w:sz w:val="28"/>
                <w:szCs w:val="28"/>
              </w:rPr>
              <w:t>TC03 Total number of primary fires attended</w:t>
            </w:r>
          </w:p>
        </w:tc>
      </w:tr>
      <w:tr w:rsidR="004E0CC1" w14:paraId="596BEF2D" w14:textId="77777777" w:rsidTr="003160D7">
        <w:tc>
          <w:tcPr>
            <w:tcW w:w="3267" w:type="dxa"/>
            <w:gridSpan w:val="2"/>
            <w:shd w:val="clear" w:color="auto" w:fill="FFFF00"/>
            <w:vAlign w:val="center"/>
          </w:tcPr>
          <w:p w14:paraId="02DF1E06" w14:textId="77777777" w:rsidR="00B650D2" w:rsidRDefault="00B650D2" w:rsidP="003160D7">
            <w:pPr>
              <w:jc w:val="center"/>
            </w:pPr>
            <w:r w:rsidRPr="00C63E5E">
              <w:t>Service Plan Target</w:t>
            </w:r>
          </w:p>
          <w:p w14:paraId="448F86ED" w14:textId="77777777" w:rsidR="00B650D2" w:rsidRDefault="00B650D2" w:rsidP="003160D7">
            <w:pPr>
              <w:jc w:val="center"/>
            </w:pPr>
            <w:r>
              <w:t>Apr-Dec 2023</w:t>
            </w:r>
          </w:p>
        </w:tc>
        <w:tc>
          <w:tcPr>
            <w:tcW w:w="2442" w:type="dxa"/>
            <w:gridSpan w:val="2"/>
            <w:shd w:val="clear" w:color="auto" w:fill="D9E2F3" w:themeFill="accent5" w:themeFillTint="33"/>
            <w:vAlign w:val="center"/>
          </w:tcPr>
          <w:p w14:paraId="51380C28" w14:textId="77777777" w:rsidR="00B650D2" w:rsidRPr="004D4B15" w:rsidRDefault="00B650D2" w:rsidP="003160D7">
            <w:pPr>
              <w:jc w:val="center"/>
              <w:rPr>
                <w:b/>
              </w:rPr>
            </w:pPr>
            <w:r>
              <w:rPr>
                <w:b/>
              </w:rPr>
              <w:t>1497</w:t>
            </w:r>
          </w:p>
        </w:tc>
        <w:tc>
          <w:tcPr>
            <w:tcW w:w="2936" w:type="dxa"/>
            <w:shd w:val="clear" w:color="auto" w:fill="FFFF00"/>
            <w:vAlign w:val="center"/>
          </w:tcPr>
          <w:p w14:paraId="6E373977" w14:textId="77777777" w:rsidR="00B650D2" w:rsidRDefault="00B650D2" w:rsidP="003160D7">
            <w:pPr>
              <w:jc w:val="center"/>
            </w:pPr>
            <w:r w:rsidRPr="00C63E5E">
              <w:t>Progress to Date</w:t>
            </w:r>
          </w:p>
        </w:tc>
        <w:tc>
          <w:tcPr>
            <w:tcW w:w="1905" w:type="dxa"/>
            <w:shd w:val="clear" w:color="auto" w:fill="00B050"/>
            <w:vAlign w:val="center"/>
          </w:tcPr>
          <w:p w14:paraId="57A46963" w14:textId="77777777" w:rsidR="00B650D2" w:rsidRPr="006C577F" w:rsidRDefault="00B650D2" w:rsidP="003160D7">
            <w:pPr>
              <w:jc w:val="center"/>
              <w:rPr>
                <w:b/>
              </w:rPr>
            </w:pPr>
            <w:r>
              <w:rPr>
                <w:b/>
              </w:rPr>
              <w:t>1268</w:t>
            </w:r>
          </w:p>
        </w:tc>
      </w:tr>
      <w:tr w:rsidR="004E0CC1" w14:paraId="141E5222" w14:textId="77777777" w:rsidTr="0075680C">
        <w:tc>
          <w:tcPr>
            <w:tcW w:w="10550" w:type="dxa"/>
            <w:gridSpan w:val="6"/>
          </w:tcPr>
          <w:p w14:paraId="1CC386FD" w14:textId="77777777" w:rsidR="00B650D2" w:rsidRDefault="00B650D2" w:rsidP="00F8744C">
            <w:pPr>
              <w:jc w:val="center"/>
              <w:rPr>
                <w:noProof/>
                <w:lang w:eastAsia="en-GB"/>
              </w:rPr>
            </w:pPr>
            <w:r>
              <w:rPr>
                <w:noProof/>
                <w:lang w:eastAsia="en-GB"/>
              </w:rPr>
              <w:drawing>
                <wp:inline distT="0" distB="0" distL="0" distR="0" wp14:anchorId="00F4B180" wp14:editId="464A2529">
                  <wp:extent cx="5785485" cy="267017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222517" name="Picture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785485" cy="2670175"/>
                          </a:xfrm>
                          <a:prstGeom prst="rect">
                            <a:avLst/>
                          </a:prstGeom>
                          <a:noFill/>
                        </pic:spPr>
                      </pic:pic>
                    </a:graphicData>
                  </a:graphic>
                </wp:inline>
              </w:drawing>
            </w:r>
          </w:p>
        </w:tc>
      </w:tr>
      <w:tr w:rsidR="004E0CC1" w14:paraId="71E40EC3" w14:textId="77777777" w:rsidTr="003160D7">
        <w:tc>
          <w:tcPr>
            <w:tcW w:w="10550" w:type="dxa"/>
            <w:gridSpan w:val="6"/>
            <w:shd w:val="clear" w:color="auto" w:fill="5B9BD5" w:themeFill="accent1"/>
          </w:tcPr>
          <w:p w14:paraId="6A419AFF" w14:textId="77777777" w:rsidR="00B650D2" w:rsidRPr="005359B6" w:rsidRDefault="00B650D2" w:rsidP="003160D7">
            <w:pPr>
              <w:rPr>
                <w:b/>
                <w:color w:val="FFFFFF" w:themeColor="background1"/>
              </w:rPr>
            </w:pPr>
            <w:r w:rsidRPr="005359B6">
              <w:rPr>
                <w:b/>
                <w:color w:val="FFFFFF" w:themeColor="background1"/>
              </w:rPr>
              <w:t>Cumulative Performance</w:t>
            </w:r>
          </w:p>
        </w:tc>
      </w:tr>
      <w:tr w:rsidR="004E0CC1" w14:paraId="77D066E1" w14:textId="77777777" w:rsidTr="00F737A5">
        <w:tc>
          <w:tcPr>
            <w:tcW w:w="10550" w:type="dxa"/>
            <w:gridSpan w:val="6"/>
          </w:tcPr>
          <w:p w14:paraId="55173EC8" w14:textId="77777777" w:rsidR="00B650D2" w:rsidRDefault="00B650D2" w:rsidP="00F8744C">
            <w:pPr>
              <w:jc w:val="center"/>
              <w:rPr>
                <w:noProof/>
                <w:lang w:eastAsia="en-GB"/>
              </w:rPr>
            </w:pPr>
            <w:r>
              <w:rPr>
                <w:noProof/>
                <w:lang w:eastAsia="en-GB"/>
              </w:rPr>
              <w:drawing>
                <wp:inline distT="0" distB="0" distL="0" distR="0" wp14:anchorId="25806F70" wp14:editId="4B3FDCF3">
                  <wp:extent cx="5770800" cy="2660400"/>
                  <wp:effectExtent l="0" t="0" r="1905" b="6985"/>
                  <wp:docPr id="11" name="Chart 11">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4E0CC1" w14:paraId="51960229" w14:textId="77777777" w:rsidTr="003160D7">
        <w:tc>
          <w:tcPr>
            <w:tcW w:w="5275" w:type="dxa"/>
            <w:gridSpan w:val="3"/>
          </w:tcPr>
          <w:p w14:paraId="1107B8FB" w14:textId="77777777" w:rsidR="00B650D2" w:rsidRPr="00631FB9" w:rsidRDefault="00B650D2" w:rsidP="003160D7">
            <w:pPr>
              <w:rPr>
                <w:b/>
                <w:sz w:val="24"/>
                <w:szCs w:val="24"/>
              </w:rPr>
            </w:pPr>
            <w:r>
              <w:rPr>
                <w:b/>
                <w:sz w:val="24"/>
                <w:szCs w:val="24"/>
              </w:rPr>
              <w:t xml:space="preserve">TC03 Total number of primary fires attended </w:t>
            </w:r>
          </w:p>
          <w:p w14:paraId="705036BE" w14:textId="77777777" w:rsidR="00B650D2" w:rsidRDefault="00B650D2" w:rsidP="003160D7">
            <w:pPr>
              <w:jc w:val="center"/>
              <w:rPr>
                <w:noProof/>
                <w:lang w:eastAsia="en-GB"/>
              </w:rPr>
            </w:pPr>
          </w:p>
        </w:tc>
        <w:tc>
          <w:tcPr>
            <w:tcW w:w="5275" w:type="dxa"/>
            <w:gridSpan w:val="3"/>
            <w:shd w:val="clear" w:color="auto" w:fill="00B050"/>
          </w:tcPr>
          <w:p w14:paraId="505114C1" w14:textId="77777777" w:rsidR="00B650D2" w:rsidRDefault="00B650D2" w:rsidP="003160D7">
            <w:pPr>
              <w:jc w:val="center"/>
              <w:rPr>
                <w:noProof/>
                <w:lang w:eastAsia="en-GB"/>
              </w:rPr>
            </w:pPr>
          </w:p>
        </w:tc>
      </w:tr>
      <w:tr w:rsidR="004E0CC1" w14:paraId="097433AA" w14:textId="77777777" w:rsidTr="003160D7">
        <w:tc>
          <w:tcPr>
            <w:tcW w:w="3179" w:type="dxa"/>
          </w:tcPr>
          <w:p w14:paraId="02DDB4C4" w14:textId="77777777" w:rsidR="00B650D2" w:rsidRDefault="00B650D2" w:rsidP="003160D7">
            <w:pPr>
              <w:rPr>
                <w:noProof/>
                <w:lang w:eastAsia="en-GB"/>
              </w:rPr>
            </w:pPr>
            <w:r w:rsidRPr="00631FB9">
              <w:rPr>
                <w:b/>
              </w:rPr>
              <w:t>TC03</w:t>
            </w:r>
          </w:p>
        </w:tc>
        <w:tc>
          <w:tcPr>
            <w:tcW w:w="7371" w:type="dxa"/>
            <w:gridSpan w:val="5"/>
          </w:tcPr>
          <w:p w14:paraId="0E6C7CD4" w14:textId="77777777" w:rsidR="00B650D2" w:rsidRPr="003A53BD" w:rsidRDefault="00B650D2" w:rsidP="00FA59EE">
            <w:r w:rsidRPr="003A53BD">
              <w:t xml:space="preserve">During the </w:t>
            </w:r>
            <w:r>
              <w:t>period April to December 2023</w:t>
            </w:r>
            <w:r w:rsidRPr="003A53BD">
              <w:t xml:space="preserve"> crews attended </w:t>
            </w:r>
            <w:r>
              <w:t>1268</w:t>
            </w:r>
            <w:r w:rsidRPr="003A53BD">
              <w:t xml:space="preserve"> Primary Fires.   This is 1</w:t>
            </w:r>
            <w:r>
              <w:t>81</w:t>
            </w:r>
            <w:r w:rsidRPr="003A53BD">
              <w:t xml:space="preserve"> fewer than in 2022/23 (</w:t>
            </w:r>
            <w:r>
              <w:t>1449</w:t>
            </w:r>
            <w:r w:rsidRPr="003A53BD">
              <w:t xml:space="preserve">).  </w:t>
            </w:r>
          </w:p>
          <w:p w14:paraId="72FD7847" w14:textId="77777777" w:rsidR="00B650D2" w:rsidRPr="003A53BD" w:rsidRDefault="00B650D2" w:rsidP="00FA59EE"/>
          <w:p w14:paraId="00FC3388" w14:textId="77777777" w:rsidR="00B650D2" w:rsidRPr="003A53BD" w:rsidRDefault="00B650D2" w:rsidP="00FA59EE">
            <w:r w:rsidRPr="003A53BD">
              <w:t xml:space="preserve">The number of </w:t>
            </w:r>
            <w:r>
              <w:t xml:space="preserve">accidental </w:t>
            </w:r>
            <w:r w:rsidRPr="003A53BD">
              <w:t xml:space="preserve">dwelling fires attended remain </w:t>
            </w:r>
            <w:r>
              <w:t>lower</w:t>
            </w:r>
            <w:r w:rsidRPr="003A53BD">
              <w:t xml:space="preserve"> than last year and below cumulative targets.  </w:t>
            </w:r>
            <w:r>
              <w:t xml:space="preserve">Both types of </w:t>
            </w:r>
            <w:r w:rsidRPr="003A53BD">
              <w:t xml:space="preserve">deliberate dwelling fires </w:t>
            </w:r>
            <w:r>
              <w:t xml:space="preserve">are now within 10% of the cumulative target </w:t>
            </w:r>
          </w:p>
          <w:p w14:paraId="6651A612" w14:textId="77777777" w:rsidR="00B650D2" w:rsidRPr="003A53BD" w:rsidRDefault="00B650D2" w:rsidP="003160D7"/>
          <w:p w14:paraId="655CED2F" w14:textId="77777777" w:rsidR="00B650D2" w:rsidRPr="003A53BD" w:rsidRDefault="00B650D2" w:rsidP="003160D7">
            <w:r w:rsidRPr="003A53BD">
              <w:t>Deliberate vehicle fires to date during 2023/24 (</w:t>
            </w:r>
            <w:r>
              <w:t>182</w:t>
            </w:r>
            <w:r w:rsidRPr="003A53BD">
              <w:t xml:space="preserve">) have also decreased when compared to </w:t>
            </w:r>
            <w:r>
              <w:t>224</w:t>
            </w:r>
            <w:r w:rsidRPr="003A53BD">
              <w:t xml:space="preserve"> during quarter </w:t>
            </w:r>
            <w:r>
              <w:t>3</w:t>
            </w:r>
            <w:r w:rsidRPr="003A53BD">
              <w:t xml:space="preserve"> of 2022/23.</w:t>
            </w:r>
            <w:r>
              <w:t xml:space="preserve">  This is also 105 under the cumulative target.</w:t>
            </w:r>
          </w:p>
          <w:p w14:paraId="390417EA" w14:textId="77777777" w:rsidR="00B650D2" w:rsidRPr="003A53BD" w:rsidRDefault="00B650D2" w:rsidP="003160D7"/>
          <w:p w14:paraId="6D163ECD" w14:textId="77777777" w:rsidR="00B650D2" w:rsidRPr="003A53BD" w:rsidRDefault="00B650D2" w:rsidP="003160D7">
            <w:pPr>
              <w:rPr>
                <w:noProof/>
                <w:lang w:eastAsia="en-GB"/>
              </w:rPr>
            </w:pPr>
            <w:r>
              <w:t>n.b.</w:t>
            </w:r>
            <w:r w:rsidRPr="003A53BD">
              <w:t>Primary fires involve an insurable loss and includes all property related fires</w:t>
            </w:r>
            <w:r w:rsidRPr="003A53BD">
              <w:t>, or large scale secondary fires where 5 or more appliances are in attendance.</w:t>
            </w:r>
          </w:p>
        </w:tc>
      </w:tr>
    </w:tbl>
    <w:p w14:paraId="49EEB788" w14:textId="77777777" w:rsidR="00B650D2" w:rsidRDefault="00B650D2"/>
    <w:tbl>
      <w:tblPr>
        <w:tblStyle w:val="TableGrid"/>
        <w:tblW w:w="10692" w:type="dxa"/>
        <w:tblInd w:w="-7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2266"/>
        <w:gridCol w:w="804"/>
        <w:gridCol w:w="2408"/>
        <w:gridCol w:w="3271"/>
        <w:gridCol w:w="1943"/>
      </w:tblGrid>
      <w:tr w:rsidR="004E0CC1" w14:paraId="69F4A442" w14:textId="77777777" w:rsidTr="003160D7">
        <w:tc>
          <w:tcPr>
            <w:tcW w:w="10692" w:type="dxa"/>
            <w:gridSpan w:val="5"/>
            <w:shd w:val="clear" w:color="auto" w:fill="FFFFFF" w:themeFill="background1"/>
          </w:tcPr>
          <w:tbl>
            <w:tblPr>
              <w:tblStyle w:val="TableGrid"/>
              <w:tblpPr w:leftFromText="180" w:rightFromText="180" w:vertAnchor="text" w:horzAnchor="margin" w:tblpX="-152" w:tblpY="-209"/>
              <w:tblOverlap w:val="never"/>
              <w:tblW w:w="10632"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8647"/>
              <w:gridCol w:w="1985"/>
            </w:tblGrid>
            <w:tr w:rsidR="004E0CC1" w14:paraId="333769B2" w14:textId="77777777" w:rsidTr="003160D7">
              <w:trPr>
                <w:trHeight w:val="296"/>
              </w:trPr>
              <w:tc>
                <w:tcPr>
                  <w:tcW w:w="8647" w:type="dxa"/>
                  <w:shd w:val="clear" w:color="auto" w:fill="FFFFFF" w:themeFill="background1"/>
                </w:tcPr>
                <w:p w14:paraId="6603ADC7" w14:textId="77777777" w:rsidR="00B650D2" w:rsidRPr="007A1AAD" w:rsidRDefault="00B650D2" w:rsidP="003160D7">
                  <w:pPr>
                    <w:rPr>
                      <w:b/>
                      <w:sz w:val="24"/>
                      <w:szCs w:val="24"/>
                    </w:rPr>
                  </w:pPr>
                  <w:r w:rsidRPr="007A1AAD">
                    <w:rPr>
                      <w:b/>
                      <w:sz w:val="24"/>
                      <w:szCs w:val="24"/>
                    </w:rPr>
                    <w:t>DC11   Number of accidental dwelling fires</w:t>
                  </w:r>
                </w:p>
              </w:tc>
              <w:tc>
                <w:tcPr>
                  <w:tcW w:w="1985" w:type="dxa"/>
                  <w:shd w:val="clear" w:color="auto" w:fill="00B050"/>
                </w:tcPr>
                <w:p w14:paraId="362E8F2C" w14:textId="77777777" w:rsidR="00B650D2" w:rsidRDefault="00B650D2" w:rsidP="003160D7"/>
              </w:tc>
            </w:tr>
            <w:tr w:rsidR="004E0CC1" w14:paraId="7150690C" w14:textId="77777777" w:rsidTr="003160D7">
              <w:trPr>
                <w:trHeight w:val="293"/>
              </w:trPr>
              <w:tc>
                <w:tcPr>
                  <w:tcW w:w="8647" w:type="dxa"/>
                  <w:shd w:val="clear" w:color="auto" w:fill="FFFFFF" w:themeFill="background1"/>
                </w:tcPr>
                <w:p w14:paraId="6FDE9BEA" w14:textId="77777777" w:rsidR="00B650D2" w:rsidRPr="007A1AAD" w:rsidRDefault="00B650D2" w:rsidP="003160D7">
                  <w:pPr>
                    <w:rPr>
                      <w:b/>
                      <w:sz w:val="24"/>
                      <w:szCs w:val="24"/>
                    </w:rPr>
                  </w:pPr>
                  <w:r w:rsidRPr="007A1AAD">
                    <w:rPr>
                      <w:b/>
                      <w:sz w:val="24"/>
                      <w:szCs w:val="24"/>
                    </w:rPr>
                    <w:t>DC12   Number of fatalities in accidental dwelling fires</w:t>
                  </w:r>
                </w:p>
              </w:tc>
              <w:tc>
                <w:tcPr>
                  <w:tcW w:w="1985" w:type="dxa"/>
                  <w:shd w:val="clear" w:color="auto" w:fill="00B050"/>
                </w:tcPr>
                <w:p w14:paraId="4A10606F" w14:textId="77777777" w:rsidR="00B650D2" w:rsidRDefault="00B650D2" w:rsidP="003160D7">
                  <w:pPr>
                    <w:rPr>
                      <w:sz w:val="24"/>
                      <w:szCs w:val="24"/>
                    </w:rPr>
                  </w:pPr>
                </w:p>
              </w:tc>
            </w:tr>
            <w:tr w:rsidR="004E0CC1" w14:paraId="7AA97B09" w14:textId="77777777" w:rsidTr="003160D7">
              <w:trPr>
                <w:trHeight w:val="293"/>
              </w:trPr>
              <w:tc>
                <w:tcPr>
                  <w:tcW w:w="8647" w:type="dxa"/>
                  <w:shd w:val="clear" w:color="auto" w:fill="FFFFFF" w:themeFill="background1"/>
                </w:tcPr>
                <w:p w14:paraId="34DAF2B0" w14:textId="77777777" w:rsidR="00B650D2" w:rsidRPr="007A1AAD" w:rsidRDefault="00B650D2" w:rsidP="003160D7">
                  <w:pPr>
                    <w:rPr>
                      <w:b/>
                      <w:sz w:val="24"/>
                      <w:szCs w:val="24"/>
                    </w:rPr>
                  </w:pPr>
                  <w:r>
                    <w:rPr>
                      <w:b/>
                      <w:sz w:val="24"/>
                      <w:szCs w:val="24"/>
                    </w:rPr>
                    <w:t>DC13   Number of injuries in</w:t>
                  </w:r>
                  <w:r w:rsidRPr="007A1AAD">
                    <w:rPr>
                      <w:b/>
                      <w:sz w:val="24"/>
                      <w:szCs w:val="24"/>
                    </w:rPr>
                    <w:t xml:space="preserve"> accidental dwelling fires</w:t>
                  </w:r>
                </w:p>
              </w:tc>
              <w:tc>
                <w:tcPr>
                  <w:tcW w:w="1985" w:type="dxa"/>
                  <w:shd w:val="clear" w:color="auto" w:fill="00B050"/>
                </w:tcPr>
                <w:p w14:paraId="4E9D1132" w14:textId="77777777" w:rsidR="00B650D2" w:rsidRDefault="00B650D2" w:rsidP="003160D7">
                  <w:pPr>
                    <w:rPr>
                      <w:sz w:val="24"/>
                      <w:szCs w:val="24"/>
                    </w:rPr>
                  </w:pPr>
                </w:p>
              </w:tc>
            </w:tr>
            <w:tr w:rsidR="004E0CC1" w14:paraId="2095D186" w14:textId="77777777" w:rsidTr="007C5E03">
              <w:trPr>
                <w:trHeight w:val="293"/>
              </w:trPr>
              <w:tc>
                <w:tcPr>
                  <w:tcW w:w="8647" w:type="dxa"/>
                  <w:shd w:val="clear" w:color="auto" w:fill="FFFFFF" w:themeFill="background1"/>
                </w:tcPr>
                <w:p w14:paraId="52E1FA3C" w14:textId="77777777" w:rsidR="00B650D2" w:rsidRPr="007A1AAD" w:rsidRDefault="00B650D2" w:rsidP="003160D7">
                  <w:pPr>
                    <w:rPr>
                      <w:b/>
                      <w:sz w:val="24"/>
                      <w:szCs w:val="24"/>
                    </w:rPr>
                  </w:pPr>
                  <w:r w:rsidRPr="007A1AAD">
                    <w:rPr>
                      <w:b/>
                      <w:sz w:val="24"/>
                      <w:szCs w:val="24"/>
                    </w:rPr>
                    <w:t>DC14   Number of deliberate dwelling fires in occupied properties</w:t>
                  </w:r>
                </w:p>
              </w:tc>
              <w:tc>
                <w:tcPr>
                  <w:tcW w:w="1985" w:type="dxa"/>
                  <w:shd w:val="clear" w:color="auto" w:fill="FFC000"/>
                </w:tcPr>
                <w:p w14:paraId="4249B447" w14:textId="77777777" w:rsidR="00B650D2" w:rsidRDefault="00B650D2" w:rsidP="003160D7">
                  <w:pPr>
                    <w:rPr>
                      <w:sz w:val="24"/>
                      <w:szCs w:val="24"/>
                    </w:rPr>
                  </w:pPr>
                </w:p>
              </w:tc>
            </w:tr>
            <w:tr w:rsidR="004E0CC1" w14:paraId="5CCFD82B" w14:textId="77777777" w:rsidTr="00FC1D1D">
              <w:trPr>
                <w:trHeight w:val="293"/>
              </w:trPr>
              <w:tc>
                <w:tcPr>
                  <w:tcW w:w="8647" w:type="dxa"/>
                  <w:shd w:val="clear" w:color="auto" w:fill="FFFFFF" w:themeFill="background1"/>
                </w:tcPr>
                <w:p w14:paraId="2E93D154" w14:textId="77777777" w:rsidR="00B650D2" w:rsidRPr="007A1AAD" w:rsidRDefault="00B650D2" w:rsidP="003160D7">
                  <w:pPr>
                    <w:rPr>
                      <w:b/>
                      <w:sz w:val="24"/>
                      <w:szCs w:val="24"/>
                    </w:rPr>
                  </w:pPr>
                  <w:r w:rsidRPr="007A1AAD">
                    <w:rPr>
                      <w:b/>
                      <w:sz w:val="24"/>
                      <w:szCs w:val="24"/>
                    </w:rPr>
                    <w:t xml:space="preserve">DC15  </w:t>
                  </w:r>
                  <w:r>
                    <w:rPr>
                      <w:b/>
                      <w:sz w:val="24"/>
                      <w:szCs w:val="24"/>
                    </w:rPr>
                    <w:t xml:space="preserve"> </w:t>
                  </w:r>
                  <w:r w:rsidRPr="007A1AAD">
                    <w:rPr>
                      <w:b/>
                      <w:sz w:val="24"/>
                      <w:szCs w:val="24"/>
                    </w:rPr>
                    <w:t>Number of deliberate dwelling fires in unoccupied properties</w:t>
                  </w:r>
                </w:p>
              </w:tc>
              <w:tc>
                <w:tcPr>
                  <w:tcW w:w="1985" w:type="dxa"/>
                  <w:shd w:val="clear" w:color="auto" w:fill="FFC000"/>
                </w:tcPr>
                <w:p w14:paraId="77D26093" w14:textId="77777777" w:rsidR="00B650D2" w:rsidRDefault="00B650D2" w:rsidP="003160D7">
                  <w:pPr>
                    <w:rPr>
                      <w:sz w:val="24"/>
                      <w:szCs w:val="24"/>
                    </w:rPr>
                  </w:pPr>
                </w:p>
              </w:tc>
            </w:tr>
            <w:tr w:rsidR="004E0CC1" w14:paraId="02CCB9C1" w14:textId="77777777" w:rsidTr="003160D7">
              <w:trPr>
                <w:trHeight w:val="293"/>
              </w:trPr>
              <w:tc>
                <w:tcPr>
                  <w:tcW w:w="8647" w:type="dxa"/>
                  <w:shd w:val="clear" w:color="auto" w:fill="FFFFFF" w:themeFill="background1"/>
                </w:tcPr>
                <w:p w14:paraId="2CA4D1B3" w14:textId="77777777" w:rsidR="00B650D2" w:rsidRPr="007A1AAD" w:rsidRDefault="00B650D2" w:rsidP="003160D7">
                  <w:pPr>
                    <w:rPr>
                      <w:b/>
                      <w:sz w:val="24"/>
                      <w:szCs w:val="24"/>
                    </w:rPr>
                  </w:pPr>
                  <w:r w:rsidRPr="007A1AAD">
                    <w:rPr>
                      <w:b/>
                      <w:sz w:val="24"/>
                      <w:szCs w:val="24"/>
                    </w:rPr>
                    <w:t>DC16   Number of deaths occurring in deliberate dwelling fires</w:t>
                  </w:r>
                </w:p>
              </w:tc>
              <w:tc>
                <w:tcPr>
                  <w:tcW w:w="1985" w:type="dxa"/>
                  <w:shd w:val="clear" w:color="auto" w:fill="00B050"/>
                </w:tcPr>
                <w:p w14:paraId="4A0D7EF8" w14:textId="77777777" w:rsidR="00B650D2" w:rsidRDefault="00B650D2" w:rsidP="003160D7">
                  <w:pPr>
                    <w:rPr>
                      <w:sz w:val="24"/>
                      <w:szCs w:val="24"/>
                    </w:rPr>
                  </w:pPr>
                </w:p>
              </w:tc>
            </w:tr>
            <w:tr w:rsidR="004E0CC1" w14:paraId="3D895078" w14:textId="77777777" w:rsidTr="003160D7">
              <w:trPr>
                <w:trHeight w:val="293"/>
              </w:trPr>
              <w:tc>
                <w:tcPr>
                  <w:tcW w:w="8647" w:type="dxa"/>
                  <w:shd w:val="clear" w:color="auto" w:fill="FFFFFF" w:themeFill="background1"/>
                </w:tcPr>
                <w:p w14:paraId="02FEC36F" w14:textId="77777777" w:rsidR="00B650D2" w:rsidRPr="007A1AAD" w:rsidRDefault="00B650D2" w:rsidP="003160D7">
                  <w:pPr>
                    <w:rPr>
                      <w:b/>
                      <w:sz w:val="24"/>
                      <w:szCs w:val="24"/>
                    </w:rPr>
                  </w:pPr>
                  <w:r w:rsidRPr="007A1AAD">
                    <w:rPr>
                      <w:b/>
                      <w:sz w:val="24"/>
                      <w:szCs w:val="24"/>
                    </w:rPr>
                    <w:t xml:space="preserve">DC17   Number of </w:t>
                  </w:r>
                  <w:r w:rsidRPr="007A1AAD">
                    <w:rPr>
                      <w:b/>
                      <w:sz w:val="24"/>
                      <w:szCs w:val="24"/>
                    </w:rPr>
                    <w:t>injuries occurring in deliberate dwelling fires</w:t>
                  </w:r>
                </w:p>
              </w:tc>
              <w:tc>
                <w:tcPr>
                  <w:tcW w:w="1985" w:type="dxa"/>
                  <w:shd w:val="clear" w:color="auto" w:fill="00B050"/>
                </w:tcPr>
                <w:p w14:paraId="029C3426" w14:textId="77777777" w:rsidR="00B650D2" w:rsidRDefault="00B650D2" w:rsidP="003160D7">
                  <w:pPr>
                    <w:rPr>
                      <w:sz w:val="24"/>
                      <w:szCs w:val="24"/>
                    </w:rPr>
                  </w:pPr>
                </w:p>
              </w:tc>
            </w:tr>
          </w:tbl>
          <w:p w14:paraId="57E0E66C" w14:textId="77777777" w:rsidR="00B650D2" w:rsidRPr="005359B6" w:rsidRDefault="00B650D2" w:rsidP="003160D7">
            <w:pPr>
              <w:rPr>
                <w:b/>
                <w:color w:val="FFFFFF" w:themeColor="background1"/>
                <w:sz w:val="24"/>
                <w:szCs w:val="24"/>
              </w:rPr>
            </w:pPr>
          </w:p>
        </w:tc>
      </w:tr>
      <w:tr w:rsidR="004E0CC1" w14:paraId="00FDFE8D" w14:textId="77777777" w:rsidTr="003160D7">
        <w:tc>
          <w:tcPr>
            <w:tcW w:w="10692" w:type="dxa"/>
            <w:gridSpan w:val="5"/>
            <w:shd w:val="clear" w:color="auto" w:fill="5B9BD5" w:themeFill="accent1"/>
          </w:tcPr>
          <w:p w14:paraId="694E6ED0" w14:textId="77777777" w:rsidR="00B650D2" w:rsidRPr="005359B6" w:rsidRDefault="00B650D2" w:rsidP="003160D7">
            <w:pPr>
              <w:jc w:val="center"/>
              <w:rPr>
                <w:b/>
                <w:sz w:val="24"/>
                <w:szCs w:val="24"/>
              </w:rPr>
            </w:pPr>
            <w:r w:rsidRPr="005359B6">
              <w:rPr>
                <w:b/>
                <w:color w:val="FFFFFF" w:themeColor="background1"/>
                <w:sz w:val="24"/>
                <w:szCs w:val="24"/>
              </w:rPr>
              <w:t>COMMENTARY:</w:t>
            </w:r>
          </w:p>
        </w:tc>
      </w:tr>
      <w:tr w:rsidR="004E0CC1" w14:paraId="00519067" w14:textId="77777777" w:rsidTr="003160D7">
        <w:tc>
          <w:tcPr>
            <w:tcW w:w="2266" w:type="dxa"/>
          </w:tcPr>
          <w:p w14:paraId="2B1B2AA9" w14:textId="77777777" w:rsidR="00B650D2" w:rsidRPr="004F0C38" w:rsidRDefault="00B650D2" w:rsidP="003160D7">
            <w:pPr>
              <w:rPr>
                <w:b/>
              </w:rPr>
            </w:pPr>
          </w:p>
          <w:p w14:paraId="4C405B27" w14:textId="77777777" w:rsidR="00B650D2" w:rsidRPr="004F0C38" w:rsidRDefault="00B650D2" w:rsidP="003160D7">
            <w:pPr>
              <w:rPr>
                <w:b/>
              </w:rPr>
            </w:pPr>
            <w:r w:rsidRPr="004F0C38">
              <w:rPr>
                <w:b/>
              </w:rPr>
              <w:t>DC11</w:t>
            </w:r>
          </w:p>
        </w:tc>
        <w:tc>
          <w:tcPr>
            <w:tcW w:w="8426" w:type="dxa"/>
            <w:gridSpan w:val="4"/>
          </w:tcPr>
          <w:p w14:paraId="5BF5D0A1" w14:textId="77777777" w:rsidR="00B650D2" w:rsidRPr="004F0C38" w:rsidRDefault="00B650D2" w:rsidP="00B86EA8">
            <w:pPr>
              <w:jc w:val="both"/>
            </w:pPr>
            <w:r w:rsidRPr="004F0C38">
              <w:t>Accidental dwelling fires during 202</w:t>
            </w:r>
            <w:r>
              <w:t>3</w:t>
            </w:r>
            <w:r w:rsidRPr="004F0C38">
              <w:t>/2</w:t>
            </w:r>
            <w:r>
              <w:t>4</w:t>
            </w:r>
            <w:r w:rsidRPr="004F0C38">
              <w:t xml:space="preserve"> at </w:t>
            </w:r>
            <w:r>
              <w:t>507</w:t>
            </w:r>
            <w:r w:rsidRPr="004F0C38">
              <w:t xml:space="preserve"> are </w:t>
            </w:r>
            <w:r>
              <w:t xml:space="preserve">considerably </w:t>
            </w:r>
            <w:r w:rsidRPr="004F0C38">
              <w:t xml:space="preserve">lower than the cumulative target for quarter </w:t>
            </w:r>
            <w:r>
              <w:t>3</w:t>
            </w:r>
            <w:r w:rsidRPr="004F0C38">
              <w:t xml:space="preserve"> (</w:t>
            </w:r>
            <w:r>
              <w:t>620</w:t>
            </w:r>
            <w:r w:rsidRPr="004F0C38">
              <w:t>).   T</w:t>
            </w:r>
            <w:r>
              <w:t>here have been</w:t>
            </w:r>
            <w:r w:rsidRPr="004F0C38">
              <w:t xml:space="preserve">  </w:t>
            </w:r>
            <w:r>
              <w:t>92</w:t>
            </w:r>
            <w:r>
              <w:t xml:space="preserve"> fewer incidents than at Q3</w:t>
            </w:r>
            <w:r w:rsidRPr="004F0C38">
              <w:t xml:space="preserve"> 202</w:t>
            </w:r>
            <w:r>
              <w:t>2</w:t>
            </w:r>
            <w:r w:rsidRPr="004F0C38">
              <w:t>/2</w:t>
            </w:r>
            <w:r>
              <w:t>3</w:t>
            </w:r>
            <w:r w:rsidRPr="004F0C38">
              <w:t xml:space="preserve">, when crews </w:t>
            </w:r>
            <w:r>
              <w:t>had</w:t>
            </w:r>
            <w:r w:rsidRPr="004F0C38">
              <w:t xml:space="preserve"> attended </w:t>
            </w:r>
            <w:r>
              <w:t>599</w:t>
            </w:r>
            <w:r w:rsidRPr="004F0C38">
              <w:t xml:space="preserve"> accidental dwelling fires.  </w:t>
            </w:r>
            <w:r>
              <w:t>December saw a peak with 77 incidents, 13 of which were related to faulty appliances.</w:t>
            </w:r>
          </w:p>
        </w:tc>
      </w:tr>
      <w:tr w:rsidR="004E0CC1" w14:paraId="0A37FE0E" w14:textId="77777777" w:rsidTr="003160D7">
        <w:tc>
          <w:tcPr>
            <w:tcW w:w="2266" w:type="dxa"/>
          </w:tcPr>
          <w:p w14:paraId="541D5FB6" w14:textId="77777777" w:rsidR="00B650D2" w:rsidRPr="00BA141C" w:rsidRDefault="00B650D2" w:rsidP="003160D7">
            <w:pPr>
              <w:rPr>
                <w:b/>
              </w:rPr>
            </w:pPr>
            <w:r w:rsidRPr="00BA141C">
              <w:rPr>
                <w:b/>
              </w:rPr>
              <w:t>DC12</w:t>
            </w:r>
          </w:p>
        </w:tc>
        <w:tc>
          <w:tcPr>
            <w:tcW w:w="8426" w:type="dxa"/>
            <w:gridSpan w:val="4"/>
          </w:tcPr>
          <w:p w14:paraId="05EDADFA" w14:textId="77777777" w:rsidR="00B650D2" w:rsidRPr="004D68EF" w:rsidRDefault="00B650D2" w:rsidP="00B86EA8">
            <w:pPr>
              <w:jc w:val="both"/>
            </w:pPr>
            <w:r>
              <w:t>There have sadly been 2 fatalities in accidental dwelling fires to date</w:t>
            </w:r>
            <w:r>
              <w:t>.   The most recent in September is awaiting the coroner’s verdict as to cause of death.</w:t>
            </w:r>
          </w:p>
        </w:tc>
      </w:tr>
      <w:tr w:rsidR="004E0CC1" w14:paraId="2C9EBDE4" w14:textId="77777777" w:rsidTr="003160D7">
        <w:tc>
          <w:tcPr>
            <w:tcW w:w="2266" w:type="dxa"/>
          </w:tcPr>
          <w:p w14:paraId="211A1556" w14:textId="77777777" w:rsidR="00B650D2" w:rsidRPr="00BA141C" w:rsidRDefault="00B650D2" w:rsidP="003160D7">
            <w:pPr>
              <w:rPr>
                <w:b/>
              </w:rPr>
            </w:pPr>
            <w:r w:rsidRPr="00BA141C">
              <w:rPr>
                <w:b/>
              </w:rPr>
              <w:t>DC13</w:t>
            </w:r>
          </w:p>
        </w:tc>
        <w:tc>
          <w:tcPr>
            <w:tcW w:w="8426" w:type="dxa"/>
            <w:gridSpan w:val="4"/>
          </w:tcPr>
          <w:p w14:paraId="00B14B34" w14:textId="77777777" w:rsidR="00B650D2" w:rsidRPr="004D68EF" w:rsidRDefault="00B650D2" w:rsidP="003160D7">
            <w:pPr>
              <w:jc w:val="both"/>
            </w:pPr>
            <w:r>
              <w:t>There have been 34 injuries in Accidental Dwelling Fires.  This is below the cumulative target of 66.</w:t>
            </w:r>
          </w:p>
        </w:tc>
      </w:tr>
      <w:tr w:rsidR="004E0CC1" w14:paraId="4E81CBF7" w14:textId="77777777" w:rsidTr="003160D7">
        <w:tc>
          <w:tcPr>
            <w:tcW w:w="2266" w:type="dxa"/>
          </w:tcPr>
          <w:p w14:paraId="60E7AFEA" w14:textId="77777777" w:rsidR="00B650D2" w:rsidRPr="00BA141C" w:rsidRDefault="00B650D2" w:rsidP="003160D7">
            <w:pPr>
              <w:rPr>
                <w:b/>
              </w:rPr>
            </w:pPr>
            <w:r w:rsidRPr="00BA141C">
              <w:rPr>
                <w:b/>
              </w:rPr>
              <w:t>DC14</w:t>
            </w:r>
          </w:p>
        </w:tc>
        <w:tc>
          <w:tcPr>
            <w:tcW w:w="8426" w:type="dxa"/>
            <w:gridSpan w:val="4"/>
          </w:tcPr>
          <w:p w14:paraId="3354926A" w14:textId="77777777" w:rsidR="00B650D2" w:rsidRPr="004D68EF" w:rsidRDefault="00B650D2" w:rsidP="003160D7">
            <w:pPr>
              <w:jc w:val="both"/>
            </w:pPr>
            <w:r>
              <w:t xml:space="preserve">Deliberate dwelling fires in occupied property (98) is above the cumulative target (95) and exactly the same at this period in 2022/23.  There were an unusually high number in November (17) but there was no identifiable pattern to these fires other than a </w:t>
            </w:r>
            <w:r>
              <w:t>number were in the Birkenhead area.</w:t>
            </w:r>
          </w:p>
        </w:tc>
      </w:tr>
      <w:tr w:rsidR="004E0CC1" w14:paraId="6062228B" w14:textId="77777777" w:rsidTr="003160D7">
        <w:tc>
          <w:tcPr>
            <w:tcW w:w="2266" w:type="dxa"/>
          </w:tcPr>
          <w:p w14:paraId="647AAC4D" w14:textId="77777777" w:rsidR="00B650D2" w:rsidRPr="00BA141C" w:rsidRDefault="00B650D2" w:rsidP="003160D7">
            <w:pPr>
              <w:rPr>
                <w:b/>
              </w:rPr>
            </w:pPr>
            <w:r w:rsidRPr="00BA141C">
              <w:rPr>
                <w:b/>
              </w:rPr>
              <w:t>DC15</w:t>
            </w:r>
          </w:p>
        </w:tc>
        <w:tc>
          <w:tcPr>
            <w:tcW w:w="8426" w:type="dxa"/>
            <w:gridSpan w:val="4"/>
          </w:tcPr>
          <w:p w14:paraId="5131038D" w14:textId="77777777" w:rsidR="00B650D2" w:rsidRPr="004D68EF" w:rsidRDefault="00B650D2" w:rsidP="003160D7">
            <w:pPr>
              <w:jc w:val="both"/>
            </w:pPr>
            <w:r>
              <w:t>Deliberate fires in unoccupied properties (13) is within 10% of the cumulative target (12) and the same as Q3 2022.</w:t>
            </w:r>
          </w:p>
        </w:tc>
      </w:tr>
      <w:tr w:rsidR="004E0CC1" w14:paraId="41E292F1" w14:textId="77777777" w:rsidTr="003160D7">
        <w:tc>
          <w:tcPr>
            <w:tcW w:w="2266" w:type="dxa"/>
          </w:tcPr>
          <w:p w14:paraId="2FD42509" w14:textId="77777777" w:rsidR="00B650D2" w:rsidRPr="00BA141C" w:rsidRDefault="00B650D2" w:rsidP="003160D7">
            <w:pPr>
              <w:rPr>
                <w:b/>
              </w:rPr>
            </w:pPr>
            <w:r w:rsidRPr="00BA141C">
              <w:rPr>
                <w:b/>
              </w:rPr>
              <w:t>DC16 DC17</w:t>
            </w:r>
          </w:p>
          <w:p w14:paraId="789D8B61" w14:textId="77777777" w:rsidR="00B650D2" w:rsidRPr="00BA141C" w:rsidRDefault="00B650D2" w:rsidP="003160D7">
            <w:pPr>
              <w:rPr>
                <w:b/>
              </w:rPr>
            </w:pPr>
          </w:p>
        </w:tc>
        <w:tc>
          <w:tcPr>
            <w:tcW w:w="8426" w:type="dxa"/>
            <w:gridSpan w:val="4"/>
          </w:tcPr>
          <w:p w14:paraId="4EF90285" w14:textId="77777777" w:rsidR="00B650D2" w:rsidRPr="004D68EF" w:rsidRDefault="00B650D2" w:rsidP="00D75172">
            <w:pPr>
              <w:jc w:val="both"/>
            </w:pPr>
            <w:r>
              <w:t>There have been no fatalities but 7 injuries in deliberate dwelling fires to date.</w:t>
            </w:r>
          </w:p>
        </w:tc>
      </w:tr>
      <w:tr w:rsidR="004E0CC1" w14:paraId="2C38EDCA" w14:textId="77777777" w:rsidTr="003160D7">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424"/>
        </w:trPr>
        <w:tc>
          <w:tcPr>
            <w:tcW w:w="10692" w:type="dxa"/>
            <w:gridSpan w:val="5"/>
            <w:shd w:val="clear" w:color="auto" w:fill="5B9BD5" w:themeFill="accent1"/>
          </w:tcPr>
          <w:p w14:paraId="2C2BED3C" w14:textId="77777777" w:rsidR="00B650D2" w:rsidRPr="005F20DB" w:rsidRDefault="00B650D2" w:rsidP="003160D7">
            <w:pPr>
              <w:rPr>
                <w:b/>
                <w:color w:val="FFFF00"/>
                <w:sz w:val="28"/>
                <w:szCs w:val="28"/>
              </w:rPr>
            </w:pPr>
            <w:r w:rsidRPr="00D96258">
              <w:rPr>
                <w:b/>
                <w:color w:val="FFFFFF" w:themeColor="background1"/>
                <w:sz w:val="28"/>
                <w:szCs w:val="28"/>
              </w:rPr>
              <w:t>DC</w:t>
            </w:r>
            <w:r w:rsidRPr="00D96258">
              <w:rPr>
                <w:b/>
                <w:color w:val="FFFFFF" w:themeColor="background1"/>
                <w:sz w:val="28"/>
                <w:szCs w:val="28"/>
              </w:rPr>
              <w:t>11 Number of accidental fires in dwellings</w:t>
            </w:r>
          </w:p>
        </w:tc>
      </w:tr>
      <w:tr w:rsidR="004E0CC1" w14:paraId="410E4613" w14:textId="77777777" w:rsidTr="00AB1D40">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256"/>
        </w:trPr>
        <w:tc>
          <w:tcPr>
            <w:tcW w:w="3070" w:type="dxa"/>
            <w:gridSpan w:val="2"/>
            <w:shd w:val="clear" w:color="auto" w:fill="FFFF00"/>
            <w:vAlign w:val="center"/>
          </w:tcPr>
          <w:p w14:paraId="1F0733CE" w14:textId="77777777" w:rsidR="00B650D2" w:rsidRDefault="00B650D2" w:rsidP="003160D7">
            <w:pPr>
              <w:jc w:val="center"/>
            </w:pPr>
            <w:r w:rsidRPr="00C63E5E">
              <w:t>Service Plan Target</w:t>
            </w:r>
          </w:p>
          <w:p w14:paraId="725B1C02" w14:textId="77777777" w:rsidR="00B650D2" w:rsidRDefault="00B650D2" w:rsidP="003160D7">
            <w:pPr>
              <w:jc w:val="center"/>
            </w:pPr>
            <w:r>
              <w:t>Apr-Dec 2023</w:t>
            </w:r>
          </w:p>
        </w:tc>
        <w:tc>
          <w:tcPr>
            <w:tcW w:w="2408" w:type="dxa"/>
            <w:shd w:val="clear" w:color="auto" w:fill="D9E2F3" w:themeFill="accent5" w:themeFillTint="33"/>
            <w:vAlign w:val="center"/>
          </w:tcPr>
          <w:p w14:paraId="2C4E5F15" w14:textId="77777777" w:rsidR="00B650D2" w:rsidRPr="004D4B15" w:rsidRDefault="00B650D2" w:rsidP="00AB1D40">
            <w:pPr>
              <w:jc w:val="center"/>
              <w:rPr>
                <w:b/>
              </w:rPr>
            </w:pPr>
            <w:r>
              <w:rPr>
                <w:b/>
              </w:rPr>
              <w:t>620</w:t>
            </w:r>
          </w:p>
        </w:tc>
        <w:tc>
          <w:tcPr>
            <w:tcW w:w="3271" w:type="dxa"/>
            <w:shd w:val="clear" w:color="auto" w:fill="FFFF00"/>
            <w:vAlign w:val="center"/>
          </w:tcPr>
          <w:p w14:paraId="55A260E6" w14:textId="77777777" w:rsidR="00B650D2" w:rsidRDefault="00B650D2" w:rsidP="003160D7">
            <w:pPr>
              <w:jc w:val="center"/>
            </w:pPr>
            <w:r w:rsidRPr="00C63E5E">
              <w:t>Progress to Date</w:t>
            </w:r>
          </w:p>
        </w:tc>
        <w:tc>
          <w:tcPr>
            <w:tcW w:w="1943" w:type="dxa"/>
            <w:shd w:val="clear" w:color="auto" w:fill="00B050"/>
            <w:vAlign w:val="center"/>
          </w:tcPr>
          <w:p w14:paraId="516C4134" w14:textId="77777777" w:rsidR="00B650D2" w:rsidRPr="006C577F" w:rsidRDefault="00B650D2" w:rsidP="003160D7">
            <w:pPr>
              <w:jc w:val="center"/>
              <w:rPr>
                <w:b/>
              </w:rPr>
            </w:pPr>
            <w:r>
              <w:rPr>
                <w:b/>
              </w:rPr>
              <w:t>507</w:t>
            </w:r>
          </w:p>
        </w:tc>
      </w:tr>
      <w:tr w:rsidR="004E0CC1" w14:paraId="1E06355C" w14:textId="77777777" w:rsidTr="0075680C">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3715"/>
        </w:trPr>
        <w:tc>
          <w:tcPr>
            <w:tcW w:w="10692" w:type="dxa"/>
            <w:gridSpan w:val="5"/>
          </w:tcPr>
          <w:p w14:paraId="5BA32D1A" w14:textId="77777777" w:rsidR="00B650D2" w:rsidRDefault="00B650D2" w:rsidP="00F8744C">
            <w:pPr>
              <w:jc w:val="center"/>
            </w:pPr>
            <w:r>
              <w:rPr>
                <w:noProof/>
                <w:lang w:eastAsia="en-GB"/>
              </w:rPr>
              <w:drawing>
                <wp:inline distT="0" distB="0" distL="0" distR="0" wp14:anchorId="6C0C3822" wp14:editId="2BD252BC">
                  <wp:extent cx="5810250" cy="2676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47163" name="Picture 4"/>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810250" cy="2676525"/>
                          </a:xfrm>
                          <a:prstGeom prst="rect">
                            <a:avLst/>
                          </a:prstGeom>
                          <a:noFill/>
                        </pic:spPr>
                      </pic:pic>
                    </a:graphicData>
                  </a:graphic>
                </wp:inline>
              </w:drawing>
            </w:r>
          </w:p>
        </w:tc>
      </w:tr>
    </w:tbl>
    <w:p w14:paraId="6F39C803" w14:textId="77777777" w:rsidR="00B650D2" w:rsidRDefault="00B650D2" w:rsidP="003160D7">
      <w:pPr>
        <w:sectPr w:rsidR="00B1150A" w:rsidSect="003160D7">
          <w:footerReference w:type="default" r:id="rId17"/>
          <w:pgSz w:w="11906" w:h="16838"/>
          <w:pgMar w:top="720" w:right="720" w:bottom="720" w:left="720" w:header="708" w:footer="708" w:gutter="0"/>
          <w:cols w:space="708"/>
          <w:docGrid w:linePitch="360"/>
        </w:sectPr>
      </w:pPr>
    </w:p>
    <w:p w14:paraId="16BB00C5" w14:textId="77777777" w:rsidR="00B650D2" w:rsidRDefault="00B650D2"/>
    <w:tbl>
      <w:tblPr>
        <w:tblStyle w:val="TableGrid"/>
        <w:tblW w:w="10757"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271"/>
        <w:gridCol w:w="2445"/>
        <w:gridCol w:w="2940"/>
        <w:gridCol w:w="2101"/>
      </w:tblGrid>
      <w:tr w:rsidR="004E0CC1" w14:paraId="287CCC57" w14:textId="77777777" w:rsidTr="003160D7">
        <w:trPr>
          <w:trHeight w:val="391"/>
        </w:trPr>
        <w:tc>
          <w:tcPr>
            <w:tcW w:w="10757" w:type="dxa"/>
            <w:gridSpan w:val="4"/>
            <w:shd w:val="clear" w:color="auto" w:fill="5B9BD5" w:themeFill="accent1"/>
          </w:tcPr>
          <w:p w14:paraId="1F194BC7" w14:textId="77777777" w:rsidR="00B650D2" w:rsidRPr="005F20DB" w:rsidRDefault="00B650D2" w:rsidP="003160D7">
            <w:pPr>
              <w:rPr>
                <w:b/>
                <w:color w:val="FFFF00"/>
                <w:sz w:val="28"/>
                <w:szCs w:val="28"/>
              </w:rPr>
            </w:pPr>
            <w:r w:rsidRPr="00681F4B">
              <w:rPr>
                <w:b/>
                <w:color w:val="FFFFFF" w:themeColor="background1"/>
                <w:sz w:val="28"/>
                <w:szCs w:val="28"/>
              </w:rPr>
              <w:t>DC14 Number of deliberate dwelling fires in occupied properties</w:t>
            </w:r>
          </w:p>
        </w:tc>
      </w:tr>
      <w:tr w:rsidR="004E0CC1" w14:paraId="456B1F29" w14:textId="77777777" w:rsidTr="007C5E03">
        <w:trPr>
          <w:trHeight w:val="256"/>
        </w:trPr>
        <w:tc>
          <w:tcPr>
            <w:tcW w:w="3271" w:type="dxa"/>
            <w:shd w:val="clear" w:color="auto" w:fill="FFFF00"/>
            <w:vAlign w:val="center"/>
          </w:tcPr>
          <w:p w14:paraId="56B7DE2D" w14:textId="77777777" w:rsidR="00B650D2" w:rsidRDefault="00B650D2" w:rsidP="003160D7">
            <w:pPr>
              <w:jc w:val="center"/>
            </w:pPr>
            <w:r w:rsidRPr="00C63E5E">
              <w:t>Service Plan Target</w:t>
            </w:r>
          </w:p>
          <w:p w14:paraId="66D34381" w14:textId="77777777" w:rsidR="00B650D2" w:rsidRDefault="00B650D2" w:rsidP="003160D7">
            <w:pPr>
              <w:jc w:val="center"/>
            </w:pPr>
            <w:r>
              <w:t>Apr-Dec 2023</w:t>
            </w:r>
          </w:p>
        </w:tc>
        <w:tc>
          <w:tcPr>
            <w:tcW w:w="2445" w:type="dxa"/>
            <w:shd w:val="clear" w:color="auto" w:fill="D9E2F3" w:themeFill="accent5" w:themeFillTint="33"/>
            <w:vAlign w:val="center"/>
          </w:tcPr>
          <w:p w14:paraId="51D19FED" w14:textId="77777777" w:rsidR="00B650D2" w:rsidRPr="004D4B15" w:rsidRDefault="00B650D2" w:rsidP="003160D7">
            <w:pPr>
              <w:jc w:val="center"/>
              <w:rPr>
                <w:b/>
              </w:rPr>
            </w:pPr>
            <w:r>
              <w:rPr>
                <w:b/>
              </w:rPr>
              <w:t>95</w:t>
            </w:r>
          </w:p>
        </w:tc>
        <w:tc>
          <w:tcPr>
            <w:tcW w:w="2940" w:type="dxa"/>
            <w:shd w:val="clear" w:color="auto" w:fill="FFFF00"/>
            <w:vAlign w:val="center"/>
          </w:tcPr>
          <w:p w14:paraId="71F12ECC" w14:textId="77777777" w:rsidR="00B650D2" w:rsidRDefault="00B650D2" w:rsidP="003160D7">
            <w:pPr>
              <w:jc w:val="center"/>
            </w:pPr>
            <w:r w:rsidRPr="00C63E5E">
              <w:t>Progress to Date</w:t>
            </w:r>
          </w:p>
        </w:tc>
        <w:tc>
          <w:tcPr>
            <w:tcW w:w="2101" w:type="dxa"/>
            <w:shd w:val="clear" w:color="auto" w:fill="FFC000"/>
            <w:vAlign w:val="center"/>
          </w:tcPr>
          <w:p w14:paraId="4C9D30EF" w14:textId="77777777" w:rsidR="00B650D2" w:rsidRPr="006C577F" w:rsidRDefault="00B650D2" w:rsidP="003160D7">
            <w:pPr>
              <w:jc w:val="center"/>
              <w:rPr>
                <w:b/>
              </w:rPr>
            </w:pPr>
            <w:r>
              <w:rPr>
                <w:b/>
              </w:rPr>
              <w:t>98</w:t>
            </w:r>
          </w:p>
        </w:tc>
      </w:tr>
      <w:tr w:rsidR="004E0CC1" w14:paraId="78F2CFC9" w14:textId="77777777" w:rsidTr="00F737A5">
        <w:trPr>
          <w:trHeight w:val="4231"/>
        </w:trPr>
        <w:tc>
          <w:tcPr>
            <w:tcW w:w="10757" w:type="dxa"/>
            <w:gridSpan w:val="4"/>
          </w:tcPr>
          <w:p w14:paraId="399735AC" w14:textId="77777777" w:rsidR="00B650D2" w:rsidRDefault="00B650D2" w:rsidP="00F8744C">
            <w:pPr>
              <w:jc w:val="center"/>
              <w:rPr>
                <w:noProof/>
                <w:lang w:eastAsia="en-GB"/>
              </w:rPr>
            </w:pPr>
            <w:r>
              <w:rPr>
                <w:noProof/>
                <w:lang w:eastAsia="en-GB"/>
              </w:rPr>
              <w:drawing>
                <wp:inline distT="0" distB="0" distL="0" distR="0" wp14:anchorId="3EBCBCCE" wp14:editId="69A401C0">
                  <wp:extent cx="5797304" cy="2660400"/>
                  <wp:effectExtent l="0" t="0" r="13335" b="6985"/>
                  <wp:docPr id="13" name="Chart 13">
                    <a:extLst xmlns:a="http://schemas.openxmlformats.org/drawingml/2006/main">
                      <a:ext uri="{FF2B5EF4-FFF2-40B4-BE49-F238E27FC236}">
                        <a16:creationId xmlns:a16="http://schemas.microsoft.com/office/drawing/2014/main" id="{00000000-0008-0000-07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4E0CC1" w14:paraId="0C71F3A1" w14:textId="77777777" w:rsidTr="003160D7">
        <w:trPr>
          <w:trHeight w:val="354"/>
        </w:trPr>
        <w:tc>
          <w:tcPr>
            <w:tcW w:w="10757" w:type="dxa"/>
            <w:gridSpan w:val="4"/>
            <w:shd w:val="clear" w:color="auto" w:fill="5B9BD5" w:themeFill="accent1"/>
          </w:tcPr>
          <w:p w14:paraId="161A5D17" w14:textId="77777777" w:rsidR="00B650D2" w:rsidRPr="005F20DB" w:rsidRDefault="00B650D2" w:rsidP="003160D7">
            <w:pPr>
              <w:rPr>
                <w:b/>
                <w:color w:val="FFFF00"/>
                <w:sz w:val="28"/>
                <w:szCs w:val="28"/>
              </w:rPr>
            </w:pPr>
            <w:r w:rsidRPr="00681F4B">
              <w:rPr>
                <w:b/>
                <w:color w:val="FFFFFF" w:themeColor="background1"/>
                <w:sz w:val="28"/>
                <w:szCs w:val="28"/>
              </w:rPr>
              <w:t>DC15 Number of deliberate fires in unoccupied properties</w:t>
            </w:r>
          </w:p>
        </w:tc>
      </w:tr>
      <w:tr w:rsidR="004E0CC1" w14:paraId="0AD974EF" w14:textId="77777777" w:rsidTr="00321466">
        <w:trPr>
          <w:trHeight w:val="256"/>
        </w:trPr>
        <w:tc>
          <w:tcPr>
            <w:tcW w:w="3271" w:type="dxa"/>
            <w:shd w:val="clear" w:color="auto" w:fill="FFFF00"/>
            <w:vAlign w:val="center"/>
          </w:tcPr>
          <w:p w14:paraId="0A9C2AC7" w14:textId="77777777" w:rsidR="00B650D2" w:rsidRDefault="00B650D2" w:rsidP="003160D7">
            <w:pPr>
              <w:jc w:val="center"/>
            </w:pPr>
            <w:r w:rsidRPr="00C63E5E">
              <w:t>Service Plan Target</w:t>
            </w:r>
          </w:p>
          <w:p w14:paraId="2421CC1E" w14:textId="77777777" w:rsidR="00B650D2" w:rsidRDefault="00B650D2" w:rsidP="003160D7">
            <w:pPr>
              <w:jc w:val="center"/>
            </w:pPr>
            <w:r>
              <w:t>Apr-Dec 2023</w:t>
            </w:r>
          </w:p>
        </w:tc>
        <w:tc>
          <w:tcPr>
            <w:tcW w:w="2445" w:type="dxa"/>
            <w:shd w:val="clear" w:color="auto" w:fill="D9E2F3" w:themeFill="accent5" w:themeFillTint="33"/>
            <w:vAlign w:val="center"/>
          </w:tcPr>
          <w:p w14:paraId="3FA05ABD" w14:textId="77777777" w:rsidR="00B650D2" w:rsidRPr="004D4B15" w:rsidRDefault="00B650D2" w:rsidP="003160D7">
            <w:pPr>
              <w:jc w:val="center"/>
              <w:rPr>
                <w:b/>
              </w:rPr>
            </w:pPr>
            <w:r>
              <w:rPr>
                <w:b/>
              </w:rPr>
              <w:t>12</w:t>
            </w:r>
          </w:p>
        </w:tc>
        <w:tc>
          <w:tcPr>
            <w:tcW w:w="2940" w:type="dxa"/>
            <w:shd w:val="clear" w:color="auto" w:fill="FFFF00"/>
            <w:vAlign w:val="center"/>
          </w:tcPr>
          <w:p w14:paraId="05C5D536" w14:textId="77777777" w:rsidR="00B650D2" w:rsidRDefault="00B650D2" w:rsidP="003160D7">
            <w:pPr>
              <w:jc w:val="center"/>
            </w:pPr>
            <w:r w:rsidRPr="00C63E5E">
              <w:t>Progress to Date</w:t>
            </w:r>
          </w:p>
        </w:tc>
        <w:tc>
          <w:tcPr>
            <w:tcW w:w="2101" w:type="dxa"/>
            <w:shd w:val="clear" w:color="auto" w:fill="FFC000"/>
            <w:vAlign w:val="center"/>
          </w:tcPr>
          <w:p w14:paraId="11913636" w14:textId="77777777" w:rsidR="00B650D2" w:rsidRPr="006C577F" w:rsidRDefault="00B650D2" w:rsidP="00321466">
            <w:pPr>
              <w:jc w:val="center"/>
              <w:rPr>
                <w:b/>
              </w:rPr>
            </w:pPr>
            <w:r>
              <w:rPr>
                <w:b/>
              </w:rPr>
              <w:t>13</w:t>
            </w:r>
          </w:p>
        </w:tc>
      </w:tr>
      <w:tr w:rsidR="004E0CC1" w14:paraId="4D7C2371" w14:textId="77777777" w:rsidTr="00F737A5">
        <w:trPr>
          <w:trHeight w:val="4291"/>
        </w:trPr>
        <w:tc>
          <w:tcPr>
            <w:tcW w:w="10757" w:type="dxa"/>
            <w:gridSpan w:val="4"/>
          </w:tcPr>
          <w:p w14:paraId="5367BAF5" w14:textId="77777777" w:rsidR="00B650D2" w:rsidRDefault="00B650D2" w:rsidP="003160D7">
            <w:pPr>
              <w:jc w:val="center"/>
            </w:pPr>
            <w:r>
              <w:rPr>
                <w:noProof/>
                <w:lang w:eastAsia="en-GB"/>
              </w:rPr>
              <w:drawing>
                <wp:inline distT="0" distB="0" distL="0" distR="0" wp14:anchorId="53E41790" wp14:editId="7068CFF8">
                  <wp:extent cx="5797304" cy="2669925"/>
                  <wp:effectExtent l="0" t="0" r="13335" b="16510"/>
                  <wp:docPr id="15" name="Chart 15">
                    <a:extLst xmlns:a="http://schemas.openxmlformats.org/drawingml/2006/main">
                      <a:ext uri="{FF2B5EF4-FFF2-40B4-BE49-F238E27FC236}">
                        <a16:creationId xmlns:a16="http://schemas.microsoft.com/office/drawing/2014/main" id="{00000000-0008-0000-07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2E68891B" w14:textId="77777777" w:rsidR="00B650D2" w:rsidRDefault="00B650D2"/>
    <w:p w14:paraId="7B60AF97" w14:textId="77777777" w:rsidR="00B650D2" w:rsidRDefault="00B650D2"/>
    <w:p w14:paraId="473D2B71" w14:textId="77777777" w:rsidR="00B650D2" w:rsidRDefault="00B650D2"/>
    <w:p w14:paraId="10B863FF" w14:textId="77777777" w:rsidR="00B650D2" w:rsidRDefault="00B650D2"/>
    <w:p w14:paraId="0CE0EE3A" w14:textId="77777777" w:rsidR="00B650D2" w:rsidRDefault="00B650D2"/>
    <w:p w14:paraId="2C1FF094" w14:textId="77777777" w:rsidR="00B650D2" w:rsidRDefault="00B650D2"/>
    <w:p w14:paraId="605D1882" w14:textId="77777777" w:rsidR="00B650D2" w:rsidRDefault="00B650D2"/>
    <w:p w14:paraId="6E821CA6" w14:textId="77777777" w:rsidR="00B650D2" w:rsidRDefault="00B650D2">
      <w:r>
        <w:br w:type="page"/>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25"/>
        <w:gridCol w:w="97"/>
        <w:gridCol w:w="26"/>
        <w:gridCol w:w="2149"/>
        <w:gridCol w:w="45"/>
        <w:gridCol w:w="2999"/>
        <w:gridCol w:w="98"/>
        <w:gridCol w:w="2093"/>
      </w:tblGrid>
      <w:tr w:rsidR="004E0CC1" w14:paraId="4B7B65A1" w14:textId="77777777" w:rsidTr="003160D7">
        <w:tc>
          <w:tcPr>
            <w:tcW w:w="10446" w:type="dxa"/>
            <w:gridSpan w:val="9"/>
            <w:shd w:val="clear" w:color="auto" w:fill="5B9BD5" w:themeFill="accent1"/>
          </w:tcPr>
          <w:p w14:paraId="1091FBF3" w14:textId="77777777" w:rsidR="00B650D2" w:rsidRPr="005F20DB" w:rsidRDefault="00B650D2" w:rsidP="003160D7">
            <w:pPr>
              <w:rPr>
                <w:b/>
                <w:color w:val="FFFF00"/>
                <w:sz w:val="28"/>
                <w:szCs w:val="28"/>
              </w:rPr>
            </w:pPr>
            <w:r w:rsidRPr="00681F4B">
              <w:rPr>
                <w:b/>
                <w:color w:val="FFFFFF" w:themeColor="background1"/>
                <w:sz w:val="28"/>
                <w:szCs w:val="28"/>
              </w:rPr>
              <w:t>TC04  Total</w:t>
            </w:r>
            <w:r w:rsidRPr="00681F4B">
              <w:rPr>
                <w:b/>
                <w:color w:val="FFFFFF" w:themeColor="background1"/>
                <w:sz w:val="28"/>
                <w:szCs w:val="28"/>
              </w:rPr>
              <w:t xml:space="preserve"> number of secondary fires attended</w:t>
            </w:r>
          </w:p>
        </w:tc>
      </w:tr>
      <w:tr w:rsidR="004E0CC1" w14:paraId="04688A60" w14:textId="77777777" w:rsidTr="00AB1D40">
        <w:tc>
          <w:tcPr>
            <w:tcW w:w="2914" w:type="dxa"/>
            <w:shd w:val="clear" w:color="auto" w:fill="FFFF00"/>
            <w:vAlign w:val="center"/>
          </w:tcPr>
          <w:p w14:paraId="57F6AED9" w14:textId="77777777" w:rsidR="00B650D2" w:rsidRDefault="00B650D2" w:rsidP="003160D7">
            <w:pPr>
              <w:jc w:val="center"/>
            </w:pPr>
            <w:r>
              <w:t>Service Plan Target</w:t>
            </w:r>
          </w:p>
          <w:p w14:paraId="2D9EA11C" w14:textId="77777777" w:rsidR="00B650D2" w:rsidRDefault="00B650D2" w:rsidP="003160D7">
            <w:pPr>
              <w:jc w:val="center"/>
            </w:pPr>
            <w:r>
              <w:t>Apr-Dec 2023</w:t>
            </w:r>
          </w:p>
        </w:tc>
        <w:tc>
          <w:tcPr>
            <w:tcW w:w="2297" w:type="dxa"/>
            <w:gridSpan w:val="4"/>
            <w:shd w:val="clear" w:color="auto" w:fill="D9E2F3" w:themeFill="accent5" w:themeFillTint="33"/>
            <w:vAlign w:val="center"/>
          </w:tcPr>
          <w:p w14:paraId="399786B0" w14:textId="77777777" w:rsidR="00B650D2" w:rsidRPr="004D4B15" w:rsidRDefault="00B650D2" w:rsidP="003160D7">
            <w:pPr>
              <w:jc w:val="center"/>
              <w:rPr>
                <w:b/>
              </w:rPr>
            </w:pPr>
            <w:r>
              <w:rPr>
                <w:b/>
              </w:rPr>
              <w:t>4353</w:t>
            </w:r>
          </w:p>
        </w:tc>
        <w:tc>
          <w:tcPr>
            <w:tcW w:w="3044" w:type="dxa"/>
            <w:gridSpan w:val="2"/>
            <w:shd w:val="clear" w:color="auto" w:fill="FFFF00"/>
            <w:vAlign w:val="center"/>
          </w:tcPr>
          <w:p w14:paraId="0516EDC6" w14:textId="77777777" w:rsidR="00B650D2" w:rsidRDefault="00B650D2" w:rsidP="003160D7">
            <w:pPr>
              <w:jc w:val="center"/>
            </w:pPr>
            <w:r w:rsidRPr="00C63E5E">
              <w:t>Progress to Date</w:t>
            </w:r>
          </w:p>
        </w:tc>
        <w:tc>
          <w:tcPr>
            <w:tcW w:w="2191" w:type="dxa"/>
            <w:gridSpan w:val="2"/>
            <w:shd w:val="clear" w:color="auto" w:fill="00B050"/>
            <w:vAlign w:val="center"/>
          </w:tcPr>
          <w:p w14:paraId="5BAC849E" w14:textId="77777777" w:rsidR="00B650D2" w:rsidRPr="006C577F" w:rsidRDefault="00B650D2" w:rsidP="003160D7">
            <w:pPr>
              <w:jc w:val="center"/>
              <w:rPr>
                <w:b/>
              </w:rPr>
            </w:pPr>
            <w:r>
              <w:rPr>
                <w:b/>
              </w:rPr>
              <w:t>3165</w:t>
            </w:r>
          </w:p>
        </w:tc>
      </w:tr>
      <w:tr w:rsidR="004E0CC1" w14:paraId="15EBE6AF" w14:textId="77777777" w:rsidTr="00F737A5">
        <w:tc>
          <w:tcPr>
            <w:tcW w:w="10446" w:type="dxa"/>
            <w:gridSpan w:val="9"/>
          </w:tcPr>
          <w:p w14:paraId="39914AB5" w14:textId="77777777" w:rsidR="00B650D2" w:rsidRDefault="00B650D2" w:rsidP="00F8744C">
            <w:pPr>
              <w:jc w:val="center"/>
              <w:rPr>
                <w:noProof/>
                <w:lang w:eastAsia="en-GB"/>
              </w:rPr>
            </w:pPr>
            <w:r>
              <w:rPr>
                <w:noProof/>
                <w:lang w:eastAsia="en-GB"/>
              </w:rPr>
              <w:drawing>
                <wp:inline distT="0" distB="0" distL="0" distR="0" wp14:anchorId="7FFF4311" wp14:editId="7EBCEB9E">
                  <wp:extent cx="5772150" cy="2660400"/>
                  <wp:effectExtent l="0" t="0" r="0" b="6985"/>
                  <wp:docPr id="16" name="Chart 16">
                    <a:extLst xmlns:a="http://schemas.openxmlformats.org/drawingml/2006/main">
                      <a:ext uri="{FF2B5EF4-FFF2-40B4-BE49-F238E27FC236}">
                        <a16:creationId xmlns:a16="http://schemas.microsoft.com/office/drawing/2014/main" id="{00000000-0008-0000-06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4E0CC1" w14:paraId="3C406709" w14:textId="77777777" w:rsidTr="003160D7">
        <w:tc>
          <w:tcPr>
            <w:tcW w:w="10446" w:type="dxa"/>
            <w:gridSpan w:val="9"/>
            <w:shd w:val="clear" w:color="auto" w:fill="5B9BD5" w:themeFill="accent1"/>
          </w:tcPr>
          <w:p w14:paraId="15FD94C1" w14:textId="77777777" w:rsidR="00B650D2" w:rsidRPr="005359B6" w:rsidRDefault="00B650D2" w:rsidP="003160D7">
            <w:pPr>
              <w:rPr>
                <w:b/>
                <w:color w:val="FFFFFF" w:themeColor="background1"/>
              </w:rPr>
            </w:pPr>
            <w:r w:rsidRPr="005359B6">
              <w:rPr>
                <w:b/>
                <w:color w:val="FFFFFF" w:themeColor="background1"/>
              </w:rPr>
              <w:t>Cumulative Performance</w:t>
            </w:r>
          </w:p>
        </w:tc>
      </w:tr>
      <w:tr w:rsidR="004E0CC1" w14:paraId="3F394067" w14:textId="77777777" w:rsidTr="00F737A5">
        <w:tc>
          <w:tcPr>
            <w:tcW w:w="10446" w:type="dxa"/>
            <w:gridSpan w:val="9"/>
          </w:tcPr>
          <w:p w14:paraId="0DBDA395" w14:textId="77777777" w:rsidR="00B650D2" w:rsidRDefault="00B650D2" w:rsidP="001478EF">
            <w:pPr>
              <w:jc w:val="center"/>
              <w:rPr>
                <w:noProof/>
                <w:lang w:eastAsia="en-GB"/>
              </w:rPr>
            </w:pPr>
            <w:r>
              <w:rPr>
                <w:noProof/>
                <w:lang w:eastAsia="en-GB"/>
              </w:rPr>
              <w:drawing>
                <wp:inline distT="0" distB="0" distL="0" distR="0" wp14:anchorId="30A803C3" wp14:editId="38A510F4">
                  <wp:extent cx="5770800" cy="2660400"/>
                  <wp:effectExtent l="0" t="0" r="1905" b="6985"/>
                  <wp:docPr id="17" name="Chart 17">
                    <a:extLst xmlns:a="http://schemas.openxmlformats.org/drawingml/2006/main">
                      <a:ext uri="{FF2B5EF4-FFF2-40B4-BE49-F238E27FC236}">
                        <a16:creationId xmlns:a16="http://schemas.microsoft.com/office/drawing/2014/main" id="{00000000-0008-0000-06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4E0CC1" w14:paraId="0E34F91A" w14:textId="77777777" w:rsidTr="00AB1D40">
        <w:trPr>
          <w:trHeight w:val="567"/>
        </w:trPr>
        <w:tc>
          <w:tcPr>
            <w:tcW w:w="5211" w:type="dxa"/>
            <w:gridSpan w:val="5"/>
          </w:tcPr>
          <w:p w14:paraId="12688EE1" w14:textId="77777777" w:rsidR="00B650D2" w:rsidRPr="00681F4B" w:rsidRDefault="00B650D2" w:rsidP="003160D7">
            <w:pPr>
              <w:rPr>
                <w:b/>
                <w:szCs w:val="24"/>
              </w:rPr>
            </w:pPr>
            <w:r w:rsidRPr="00681F4B">
              <w:rPr>
                <w:b/>
                <w:szCs w:val="24"/>
              </w:rPr>
              <w:t>TC04 Total number of secondary fires attended</w:t>
            </w:r>
          </w:p>
        </w:tc>
        <w:tc>
          <w:tcPr>
            <w:tcW w:w="5235" w:type="dxa"/>
            <w:gridSpan w:val="4"/>
            <w:shd w:val="clear" w:color="auto" w:fill="00B050"/>
          </w:tcPr>
          <w:p w14:paraId="503E10F3" w14:textId="77777777" w:rsidR="00B650D2" w:rsidRDefault="00B650D2" w:rsidP="003160D7"/>
          <w:p w14:paraId="781D117E" w14:textId="77777777" w:rsidR="00B650D2" w:rsidRDefault="00B650D2" w:rsidP="003160D7"/>
        </w:tc>
      </w:tr>
      <w:tr w:rsidR="004E0CC1" w14:paraId="52C2C754" w14:textId="77777777" w:rsidTr="001C5CFE">
        <w:trPr>
          <w:trHeight w:val="567"/>
        </w:trPr>
        <w:tc>
          <w:tcPr>
            <w:tcW w:w="5211" w:type="dxa"/>
            <w:gridSpan w:val="5"/>
          </w:tcPr>
          <w:p w14:paraId="21450455" w14:textId="77777777" w:rsidR="00B650D2" w:rsidRPr="00681F4B" w:rsidRDefault="00B650D2" w:rsidP="003160D7">
            <w:pPr>
              <w:rPr>
                <w:b/>
                <w:szCs w:val="24"/>
              </w:rPr>
            </w:pPr>
            <w:r w:rsidRPr="00681F4B">
              <w:rPr>
                <w:b/>
                <w:szCs w:val="24"/>
              </w:rPr>
              <w:t>AC13 Number of deliberate ASB fires attended</w:t>
            </w:r>
          </w:p>
        </w:tc>
        <w:tc>
          <w:tcPr>
            <w:tcW w:w="5235" w:type="dxa"/>
            <w:gridSpan w:val="4"/>
            <w:shd w:val="clear" w:color="auto" w:fill="00B050"/>
          </w:tcPr>
          <w:p w14:paraId="6FC3F8F5" w14:textId="77777777" w:rsidR="00B650D2" w:rsidRDefault="00B650D2" w:rsidP="003160D7"/>
          <w:p w14:paraId="4C32C52A" w14:textId="77777777" w:rsidR="00B650D2" w:rsidRDefault="00B650D2" w:rsidP="003160D7"/>
        </w:tc>
      </w:tr>
      <w:tr w:rsidR="004E0CC1" w14:paraId="233CC260" w14:textId="77777777" w:rsidTr="003160D7">
        <w:tc>
          <w:tcPr>
            <w:tcW w:w="3036" w:type="dxa"/>
            <w:gridSpan w:val="3"/>
          </w:tcPr>
          <w:p w14:paraId="1565D103" w14:textId="77777777" w:rsidR="00B650D2" w:rsidRDefault="00B650D2" w:rsidP="003160D7"/>
          <w:p w14:paraId="7E101E5A" w14:textId="77777777" w:rsidR="00B650D2" w:rsidRPr="007A1AAD" w:rsidRDefault="00B650D2" w:rsidP="003160D7">
            <w:pPr>
              <w:rPr>
                <w:b/>
              </w:rPr>
            </w:pPr>
            <w:r w:rsidRPr="007A1AAD">
              <w:rPr>
                <w:b/>
              </w:rPr>
              <w:t>TC04</w:t>
            </w:r>
          </w:p>
        </w:tc>
        <w:tc>
          <w:tcPr>
            <w:tcW w:w="7410" w:type="dxa"/>
            <w:gridSpan w:val="6"/>
          </w:tcPr>
          <w:p w14:paraId="4B6960B9" w14:textId="77777777" w:rsidR="00B650D2" w:rsidRDefault="00B650D2" w:rsidP="003160D7">
            <w:r>
              <w:t>There were 3165 secondary fires during this reporting period.  This is 1261 fewer than in 2022/23 (4426).    Following an increase in incidents during June (596) incident numbers have fallen and remained fairly stable until a further drop to 122 in Decembe</w:t>
            </w:r>
            <w:r>
              <w:t>r</w:t>
            </w:r>
          </w:p>
          <w:p w14:paraId="24B08721" w14:textId="77777777" w:rsidR="00B650D2" w:rsidRDefault="00B650D2" w:rsidP="003160D7"/>
        </w:tc>
      </w:tr>
      <w:tr w:rsidR="004E0CC1" w14:paraId="565358DB" w14:textId="77777777" w:rsidTr="003160D7">
        <w:tc>
          <w:tcPr>
            <w:tcW w:w="3036" w:type="dxa"/>
            <w:gridSpan w:val="3"/>
          </w:tcPr>
          <w:p w14:paraId="6CF997FE" w14:textId="77777777" w:rsidR="00B650D2" w:rsidRDefault="00B650D2" w:rsidP="003160D7"/>
          <w:p w14:paraId="3E48D12D" w14:textId="77777777" w:rsidR="00B650D2" w:rsidRPr="007A1AAD" w:rsidRDefault="00B650D2" w:rsidP="003160D7">
            <w:pPr>
              <w:rPr>
                <w:b/>
              </w:rPr>
            </w:pPr>
            <w:r w:rsidRPr="007A1AAD">
              <w:rPr>
                <w:b/>
              </w:rPr>
              <w:t>AC13</w:t>
            </w:r>
          </w:p>
        </w:tc>
        <w:tc>
          <w:tcPr>
            <w:tcW w:w="7410" w:type="dxa"/>
            <w:gridSpan w:val="6"/>
          </w:tcPr>
          <w:p w14:paraId="0A8D8664" w14:textId="77777777" w:rsidR="00B650D2" w:rsidRDefault="00B650D2" w:rsidP="003160D7">
            <w:r>
              <w:t>The count of anti-social behaviour fires (2014) is 757 less this year than in 2022/23 (2771) and achieves the cumulative Q3 target (2737).  Incident numbers remained relatively consistent throughout the year with a slight peak in June (341) and no noticeab</w:t>
            </w:r>
            <w:r>
              <w:t xml:space="preserve">le increase during the Bonfire period in November with 171 incidents.  December saw just 71 of this type of fire. </w:t>
            </w:r>
          </w:p>
          <w:p w14:paraId="7269520A" w14:textId="77777777" w:rsidR="00B650D2" w:rsidRDefault="00B650D2" w:rsidP="003160D7"/>
          <w:p w14:paraId="4D7D2DD0" w14:textId="77777777" w:rsidR="00B650D2" w:rsidRDefault="00B650D2" w:rsidP="003160D7">
            <w:r>
              <w:t>The Arson Reduction Team continue to work with partner agencies on initiatives such as Operation Banger to reduce the number of bonfires and</w:t>
            </w:r>
            <w:r>
              <w:t xml:space="preserve"> associated misbehaviour and injuries.</w:t>
            </w:r>
          </w:p>
        </w:tc>
      </w:tr>
      <w:tr w:rsidR="004E0CC1" w14:paraId="3B7A1AD6" w14:textId="77777777" w:rsidTr="003160D7">
        <w:trPr>
          <w:trHeight w:val="206"/>
        </w:trPr>
        <w:tc>
          <w:tcPr>
            <w:tcW w:w="10446" w:type="dxa"/>
            <w:gridSpan w:val="9"/>
            <w:shd w:val="clear" w:color="auto" w:fill="5B9BD5" w:themeFill="accent1"/>
          </w:tcPr>
          <w:p w14:paraId="5684B0A9" w14:textId="77777777" w:rsidR="00B650D2" w:rsidRPr="005F20DB" w:rsidRDefault="00B650D2" w:rsidP="003160D7">
            <w:pPr>
              <w:rPr>
                <w:b/>
                <w:color w:val="FFFFFF" w:themeColor="background1"/>
                <w:sz w:val="28"/>
                <w:szCs w:val="28"/>
              </w:rPr>
            </w:pPr>
            <w:r w:rsidRPr="00681F4B">
              <w:rPr>
                <w:b/>
                <w:color w:val="FFFFFF" w:themeColor="background1"/>
                <w:sz w:val="28"/>
                <w:szCs w:val="28"/>
              </w:rPr>
              <w:t>TC05  Total number of special services attended</w:t>
            </w:r>
          </w:p>
        </w:tc>
      </w:tr>
      <w:tr w:rsidR="004E0CC1" w14:paraId="28E0B88C" w14:textId="77777777" w:rsidTr="003160D7">
        <w:trPr>
          <w:trHeight w:val="551"/>
        </w:trPr>
        <w:tc>
          <w:tcPr>
            <w:tcW w:w="2939" w:type="dxa"/>
            <w:gridSpan w:val="2"/>
            <w:shd w:val="clear" w:color="auto" w:fill="FFFF00"/>
            <w:vAlign w:val="center"/>
          </w:tcPr>
          <w:p w14:paraId="56645C9B" w14:textId="77777777" w:rsidR="00B650D2" w:rsidRDefault="00B650D2" w:rsidP="003160D7">
            <w:pPr>
              <w:jc w:val="center"/>
            </w:pPr>
            <w:r>
              <w:t>Performance at Q3 22/23</w:t>
            </w:r>
          </w:p>
        </w:tc>
        <w:tc>
          <w:tcPr>
            <w:tcW w:w="2317" w:type="dxa"/>
            <w:gridSpan w:val="4"/>
            <w:shd w:val="clear" w:color="auto" w:fill="D9E2F3" w:themeFill="accent5" w:themeFillTint="33"/>
            <w:vAlign w:val="center"/>
          </w:tcPr>
          <w:p w14:paraId="6341907B" w14:textId="77777777" w:rsidR="00B650D2" w:rsidRPr="004D4B15" w:rsidRDefault="00B650D2" w:rsidP="003160D7">
            <w:pPr>
              <w:jc w:val="center"/>
              <w:rPr>
                <w:b/>
              </w:rPr>
            </w:pPr>
            <w:r>
              <w:rPr>
                <w:b/>
              </w:rPr>
              <w:t>4138</w:t>
            </w:r>
          </w:p>
        </w:tc>
        <w:tc>
          <w:tcPr>
            <w:tcW w:w="3097" w:type="dxa"/>
            <w:gridSpan w:val="2"/>
            <w:shd w:val="clear" w:color="auto" w:fill="FFFF00"/>
            <w:vAlign w:val="center"/>
          </w:tcPr>
          <w:p w14:paraId="6550A748" w14:textId="77777777" w:rsidR="00B650D2" w:rsidRDefault="00B650D2" w:rsidP="003160D7">
            <w:pPr>
              <w:jc w:val="center"/>
            </w:pPr>
            <w:r w:rsidRPr="00C63E5E">
              <w:t>Progress to Date</w:t>
            </w:r>
          </w:p>
        </w:tc>
        <w:tc>
          <w:tcPr>
            <w:tcW w:w="2093" w:type="dxa"/>
            <w:shd w:val="clear" w:color="auto" w:fill="D9E2F3" w:themeFill="accent5" w:themeFillTint="33"/>
            <w:vAlign w:val="center"/>
          </w:tcPr>
          <w:p w14:paraId="622E64DF" w14:textId="77777777" w:rsidR="00B650D2" w:rsidRPr="006C577F" w:rsidRDefault="00B650D2" w:rsidP="003160D7">
            <w:pPr>
              <w:jc w:val="center"/>
              <w:rPr>
                <w:b/>
              </w:rPr>
            </w:pPr>
            <w:r>
              <w:rPr>
                <w:b/>
              </w:rPr>
              <w:t>3968</w:t>
            </w:r>
          </w:p>
        </w:tc>
      </w:tr>
      <w:tr w:rsidR="004E0CC1" w14:paraId="420479CA" w14:textId="77777777" w:rsidTr="00F737A5">
        <w:tc>
          <w:tcPr>
            <w:tcW w:w="10446" w:type="dxa"/>
            <w:gridSpan w:val="9"/>
          </w:tcPr>
          <w:p w14:paraId="50149E29" w14:textId="77777777" w:rsidR="00B650D2" w:rsidRDefault="00B650D2" w:rsidP="003160D7">
            <w:pPr>
              <w:jc w:val="center"/>
              <w:rPr>
                <w:noProof/>
                <w:lang w:eastAsia="en-GB"/>
              </w:rPr>
            </w:pPr>
            <w:r>
              <w:rPr>
                <w:noProof/>
                <w:lang w:eastAsia="en-GB"/>
              </w:rPr>
              <w:drawing>
                <wp:inline distT="0" distB="0" distL="0" distR="0" wp14:anchorId="2F883490" wp14:editId="17553C93">
                  <wp:extent cx="5772150" cy="2660400"/>
                  <wp:effectExtent l="0" t="0" r="0" b="6985"/>
                  <wp:docPr id="18" name="Chart 18">
                    <a:extLst xmlns:a="http://schemas.openxmlformats.org/drawingml/2006/main">
                      <a:ext uri="{FF2B5EF4-FFF2-40B4-BE49-F238E27FC236}">
                        <a16:creationId xmlns:a16="http://schemas.microsoft.com/office/drawing/2014/main" id="{00000000-0008-0000-06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4E0CC1" w14:paraId="4934ABC2" w14:textId="77777777" w:rsidTr="003160D7">
        <w:tc>
          <w:tcPr>
            <w:tcW w:w="10446" w:type="dxa"/>
            <w:gridSpan w:val="9"/>
            <w:shd w:val="clear" w:color="auto" w:fill="5B9BD5" w:themeFill="accent1"/>
          </w:tcPr>
          <w:p w14:paraId="40C10DA1" w14:textId="77777777" w:rsidR="00B650D2" w:rsidRPr="005359B6" w:rsidRDefault="00B650D2" w:rsidP="003160D7">
            <w:pPr>
              <w:rPr>
                <w:b/>
                <w:color w:val="FFFFFF" w:themeColor="background1"/>
              </w:rPr>
            </w:pPr>
            <w:r w:rsidRPr="005359B6">
              <w:rPr>
                <w:b/>
                <w:color w:val="FFFFFF" w:themeColor="background1"/>
              </w:rPr>
              <w:t>Cumulative Performance</w:t>
            </w:r>
          </w:p>
        </w:tc>
      </w:tr>
      <w:tr w:rsidR="004E0CC1" w14:paraId="267E96DF" w14:textId="77777777" w:rsidTr="00F737A5">
        <w:tc>
          <w:tcPr>
            <w:tcW w:w="10446" w:type="dxa"/>
            <w:gridSpan w:val="9"/>
          </w:tcPr>
          <w:p w14:paraId="04AE1C41" w14:textId="77777777" w:rsidR="00B650D2" w:rsidRDefault="00B650D2" w:rsidP="001478EF">
            <w:pPr>
              <w:jc w:val="center"/>
              <w:rPr>
                <w:noProof/>
                <w:lang w:eastAsia="en-GB"/>
              </w:rPr>
            </w:pPr>
            <w:r>
              <w:rPr>
                <w:noProof/>
                <w:lang w:eastAsia="en-GB"/>
              </w:rPr>
              <w:drawing>
                <wp:inline distT="0" distB="0" distL="0" distR="0" wp14:anchorId="3C019916" wp14:editId="245AB7FC">
                  <wp:extent cx="5770800" cy="2660400"/>
                  <wp:effectExtent l="0" t="0" r="1905" b="6985"/>
                  <wp:docPr id="19" name="Chart 19">
                    <a:extLst xmlns:a="http://schemas.openxmlformats.org/drawingml/2006/main">
                      <a:ext uri="{FF2B5EF4-FFF2-40B4-BE49-F238E27FC236}">
                        <a16:creationId xmlns:a16="http://schemas.microsoft.com/office/drawing/2014/main" id="{00000000-0008-0000-06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4E0CC1" w14:paraId="2F20FBED" w14:textId="77777777" w:rsidTr="003160D7">
        <w:trPr>
          <w:trHeight w:val="567"/>
        </w:trPr>
        <w:tc>
          <w:tcPr>
            <w:tcW w:w="5256" w:type="dxa"/>
            <w:gridSpan w:val="6"/>
          </w:tcPr>
          <w:p w14:paraId="616EB7C2" w14:textId="77777777" w:rsidR="00B650D2" w:rsidRPr="00681F4B" w:rsidRDefault="00B650D2" w:rsidP="003160D7">
            <w:pPr>
              <w:rPr>
                <w:b/>
              </w:rPr>
            </w:pPr>
            <w:r w:rsidRPr="00681F4B">
              <w:rPr>
                <w:b/>
              </w:rPr>
              <w:t>TC05 Total number of Special Services attended</w:t>
            </w:r>
          </w:p>
        </w:tc>
        <w:tc>
          <w:tcPr>
            <w:tcW w:w="5190" w:type="dxa"/>
            <w:gridSpan w:val="3"/>
            <w:shd w:val="clear" w:color="auto" w:fill="D9E2F3" w:themeFill="accent5" w:themeFillTint="33"/>
          </w:tcPr>
          <w:p w14:paraId="6F8C8A01" w14:textId="77777777" w:rsidR="00B650D2" w:rsidRPr="00681F4B" w:rsidRDefault="00B650D2" w:rsidP="003160D7">
            <w:pPr>
              <w:jc w:val="center"/>
              <w:rPr>
                <w:b/>
              </w:rPr>
            </w:pPr>
            <w:r w:rsidRPr="00681F4B">
              <w:rPr>
                <w:b/>
              </w:rPr>
              <w:t>For quality assurance only</w:t>
            </w:r>
          </w:p>
          <w:p w14:paraId="7D974437" w14:textId="77777777" w:rsidR="00B650D2" w:rsidRDefault="00B650D2" w:rsidP="003160D7"/>
        </w:tc>
      </w:tr>
      <w:tr w:rsidR="004E0CC1" w14:paraId="4F2A732F" w14:textId="77777777" w:rsidTr="003160D7">
        <w:tc>
          <w:tcPr>
            <w:tcW w:w="3062" w:type="dxa"/>
            <w:gridSpan w:val="4"/>
          </w:tcPr>
          <w:p w14:paraId="1F6D7603" w14:textId="77777777" w:rsidR="00B650D2" w:rsidRPr="007A1AAD" w:rsidRDefault="00B650D2" w:rsidP="003160D7">
            <w:pPr>
              <w:rPr>
                <w:b/>
              </w:rPr>
            </w:pPr>
          </w:p>
          <w:p w14:paraId="45550C6F" w14:textId="77777777" w:rsidR="00B650D2" w:rsidRDefault="00B650D2" w:rsidP="003160D7">
            <w:r w:rsidRPr="00FA59EE">
              <w:rPr>
                <w:b/>
              </w:rPr>
              <w:t>TC05</w:t>
            </w:r>
          </w:p>
        </w:tc>
        <w:tc>
          <w:tcPr>
            <w:tcW w:w="7384" w:type="dxa"/>
            <w:gridSpan w:val="5"/>
          </w:tcPr>
          <w:p w14:paraId="6ACAD2C4" w14:textId="77777777" w:rsidR="00B650D2" w:rsidRDefault="00B650D2" w:rsidP="003160D7">
            <w:r w:rsidRPr="001C7075">
              <w:t xml:space="preserve">When personnel and equipment are </w:t>
            </w:r>
            <w:r>
              <w:t>de</w:t>
            </w:r>
            <w:r w:rsidRPr="001C7075">
              <w:t xml:space="preserve">ployed for services other than firefighting, those services </w:t>
            </w:r>
            <w:r>
              <w:t>are</w:t>
            </w:r>
            <w:r w:rsidRPr="001C7075">
              <w:t xml:space="preserve"> referred to as a ‘Special Service Call’ (SSC) and may be either ’emergency’ or ‘non-emergency.’</w:t>
            </w:r>
            <w:r>
              <w:t xml:space="preserve">  </w:t>
            </w:r>
            <w:r w:rsidRPr="00A30CD1">
              <w:t>Many are</w:t>
            </w:r>
            <w:r>
              <w:t xml:space="preserve"> related to</w:t>
            </w:r>
            <w:r w:rsidRPr="00A30CD1">
              <w:t xml:space="preserve"> assisting partner agencies such as the P</w:t>
            </w:r>
            <w:r w:rsidRPr="00A30CD1">
              <w:t>olice and Ambulance</w:t>
            </w:r>
            <w:r>
              <w:t>, particularly related to providing medical assistance and effecting entry</w:t>
            </w:r>
            <w:r w:rsidRPr="00A30CD1">
              <w:t xml:space="preserve">. </w:t>
            </w:r>
            <w:r>
              <w:t xml:space="preserve"> They also include incident types like road traffic collisions and water rescue.  </w:t>
            </w:r>
          </w:p>
          <w:p w14:paraId="02049E3F" w14:textId="77777777" w:rsidR="00B650D2" w:rsidRDefault="00B650D2" w:rsidP="003160D7"/>
          <w:p w14:paraId="06377FE0" w14:textId="77777777" w:rsidR="00B650D2" w:rsidRPr="00A30CD1" w:rsidRDefault="00B650D2" w:rsidP="003160D7">
            <w:r>
              <w:t>From April to December 2023 the number of special services attended (3968) wa</w:t>
            </w:r>
            <w:r>
              <w:t>s lower than in 2022 (4138</w:t>
            </w:r>
            <w:r w:rsidRPr="00D90A35">
              <w:t>)</w:t>
            </w:r>
            <w:r>
              <w:t xml:space="preserve"> a decrease of 170 incidents</w:t>
            </w:r>
            <w:r w:rsidRPr="00D90A35">
              <w:t xml:space="preserve">.  Assisting other agencies </w:t>
            </w:r>
            <w:r>
              <w:t xml:space="preserve">accounted for a quarter of all calls.  </w:t>
            </w:r>
          </w:p>
          <w:p w14:paraId="1A317591" w14:textId="77777777" w:rsidR="00B650D2" w:rsidRDefault="00B650D2" w:rsidP="003160D7"/>
          <w:p w14:paraId="76780731" w14:textId="77777777" w:rsidR="00B650D2" w:rsidRDefault="00B650D2" w:rsidP="00D75172">
            <w:r>
              <w:t>S</w:t>
            </w:r>
            <w:r w:rsidRPr="00DA132C">
              <w:t xml:space="preserve">pecial service calls attended </w:t>
            </w:r>
            <w:r>
              <w:t xml:space="preserve">are counted </w:t>
            </w:r>
            <w:r w:rsidRPr="00DA132C">
              <w:t>for quality assurance only</w:t>
            </w:r>
            <w:r>
              <w:t xml:space="preserve"> as a number of incident types (particularly those where MFRS i</w:t>
            </w:r>
            <w:r>
              <w:t>s assisting other agencies) are encouraged, rather than MFRS being in a position to take action to prevent them as is the case with most other emergency response activity.</w:t>
            </w:r>
            <w:r w:rsidRPr="00DA132C">
              <w:t xml:space="preserve">  </w:t>
            </w:r>
          </w:p>
          <w:p w14:paraId="75B8D759" w14:textId="77777777" w:rsidR="00B650D2" w:rsidRPr="0021486A" w:rsidRDefault="00B650D2" w:rsidP="00D75172">
            <w:pPr>
              <w:rPr>
                <w:highlight w:val="yellow"/>
              </w:rPr>
            </w:pPr>
          </w:p>
        </w:tc>
      </w:tr>
      <w:tr w:rsidR="004E0CC1" w14:paraId="1B8775C1" w14:textId="77777777" w:rsidTr="003160D7">
        <w:tc>
          <w:tcPr>
            <w:tcW w:w="3062" w:type="dxa"/>
            <w:gridSpan w:val="4"/>
          </w:tcPr>
          <w:p w14:paraId="2A91A3AC" w14:textId="77777777" w:rsidR="00B650D2" w:rsidRDefault="00B650D2" w:rsidP="003160D7">
            <w:pPr>
              <w:rPr>
                <w:b/>
              </w:rPr>
            </w:pPr>
            <w:r w:rsidRPr="007A1AAD">
              <w:rPr>
                <w:b/>
              </w:rPr>
              <w:t>RC11</w:t>
            </w:r>
          </w:p>
          <w:p w14:paraId="3040CFE8" w14:textId="77777777" w:rsidR="00B650D2" w:rsidRDefault="00B650D2" w:rsidP="003160D7">
            <w:pPr>
              <w:rPr>
                <w:b/>
              </w:rPr>
            </w:pPr>
          </w:p>
          <w:p w14:paraId="4174C9A1" w14:textId="77777777" w:rsidR="00B650D2" w:rsidRDefault="00B650D2" w:rsidP="003160D7">
            <w:pPr>
              <w:rPr>
                <w:b/>
              </w:rPr>
            </w:pPr>
            <w:r>
              <w:rPr>
                <w:b/>
              </w:rPr>
              <w:t>RC12</w:t>
            </w:r>
          </w:p>
          <w:p w14:paraId="3867F0DE" w14:textId="77777777" w:rsidR="00B650D2" w:rsidRDefault="00B650D2" w:rsidP="003160D7">
            <w:pPr>
              <w:rPr>
                <w:b/>
              </w:rPr>
            </w:pPr>
            <w:r>
              <w:rPr>
                <w:b/>
              </w:rPr>
              <w:t>RC13</w:t>
            </w:r>
          </w:p>
          <w:p w14:paraId="06904427" w14:textId="77777777" w:rsidR="00B650D2" w:rsidRDefault="00B650D2" w:rsidP="003160D7">
            <w:pPr>
              <w:rPr>
                <w:b/>
              </w:rPr>
            </w:pPr>
          </w:p>
          <w:p w14:paraId="679334ED" w14:textId="77777777" w:rsidR="00B650D2" w:rsidRDefault="00B650D2" w:rsidP="003160D7">
            <w:pPr>
              <w:rPr>
                <w:b/>
              </w:rPr>
            </w:pPr>
            <w:r>
              <w:rPr>
                <w:b/>
              </w:rPr>
              <w:t>RC16</w:t>
            </w:r>
          </w:p>
          <w:p w14:paraId="1562611C" w14:textId="77777777" w:rsidR="00B650D2" w:rsidRDefault="00B650D2" w:rsidP="003160D7">
            <w:pPr>
              <w:rPr>
                <w:b/>
              </w:rPr>
            </w:pPr>
          </w:p>
          <w:p w14:paraId="7A34300E" w14:textId="77777777" w:rsidR="00B650D2" w:rsidRDefault="00B650D2" w:rsidP="003160D7">
            <w:pPr>
              <w:rPr>
                <w:b/>
              </w:rPr>
            </w:pPr>
          </w:p>
          <w:p w14:paraId="3F2494D4" w14:textId="77777777" w:rsidR="00B650D2" w:rsidRDefault="00B650D2" w:rsidP="003160D7">
            <w:r>
              <w:rPr>
                <w:b/>
              </w:rPr>
              <w:t>RC24</w:t>
            </w:r>
          </w:p>
        </w:tc>
        <w:tc>
          <w:tcPr>
            <w:tcW w:w="7384" w:type="dxa"/>
            <w:gridSpan w:val="5"/>
          </w:tcPr>
          <w:p w14:paraId="796E59B6" w14:textId="77777777" w:rsidR="00B650D2" w:rsidRDefault="00B650D2" w:rsidP="003160D7">
            <w:r w:rsidRPr="00D50A30">
              <w:t xml:space="preserve">The number of </w:t>
            </w:r>
            <w:r>
              <w:t>road traffic collisions</w:t>
            </w:r>
            <w:r w:rsidRPr="00D50A30">
              <w:t xml:space="preserve"> attended</w:t>
            </w:r>
            <w:r>
              <w:t xml:space="preserve"> (607) is lower than last year (635).  There is no target for this incident type.   </w:t>
            </w:r>
          </w:p>
          <w:p w14:paraId="19748D03" w14:textId="77777777" w:rsidR="00B650D2" w:rsidRDefault="00B650D2" w:rsidP="003160D7">
            <w:r>
              <w:t xml:space="preserve">Sadly there have been 9 fatalities in RTC’s attended by MFRS and 227 injuries (178 of which were slight injuries).  This increase is also reflected in the Police </w:t>
            </w:r>
            <w:r>
              <w:t>data below.</w:t>
            </w:r>
          </w:p>
          <w:p w14:paraId="2752632A" w14:textId="77777777" w:rsidR="00B650D2" w:rsidRDefault="00B650D2" w:rsidP="003160D7">
            <w:r>
              <w:t>Police RTC data relating to the  15-20 year old age group, which is the age group MFRS Prevention teams work with, shows that the number of incidents where a young person has been killed or seriously injured has increased from 39 in 202 to 54 i</w:t>
            </w:r>
            <w:r>
              <w:t>n 2023 with 2 of these sadly being fatalities.</w:t>
            </w:r>
          </w:p>
          <w:p w14:paraId="1EB30924" w14:textId="77777777" w:rsidR="00B650D2" w:rsidRDefault="00B650D2" w:rsidP="005402F9">
            <w:r>
              <w:t>Water rescues are also included in Special Service calls and this type of incident increased to 33 water rescue incidents during Q3 compared to 23 in 2022.  This could be due to the exceptionally hot weather i</w:t>
            </w:r>
            <w:r>
              <w:t>n June when we did see an increase in water rescues (9).  Sadly this includes tragic incidents at Crosby Marina and  on Queens Drive.</w:t>
            </w:r>
          </w:p>
          <w:p w14:paraId="55727D79" w14:textId="77777777" w:rsidR="00B650D2" w:rsidRPr="00A30CD1" w:rsidRDefault="00B650D2" w:rsidP="005402F9"/>
          <w:p w14:paraId="24446B2B" w14:textId="77777777" w:rsidR="00B650D2" w:rsidRDefault="00B650D2" w:rsidP="003160D7">
            <w:r>
              <w:t xml:space="preserve">This incident type includes rescues from floods, rivers including the Mersey, park lakes and ponds. As with road traffic </w:t>
            </w:r>
            <w:r>
              <w:t>collisions, arson and antisocial behaviour, the community safety team takes action with partners to reduce these types of incident.</w:t>
            </w:r>
          </w:p>
          <w:p w14:paraId="6FD00CC9" w14:textId="77777777" w:rsidR="00B650D2" w:rsidRPr="00D50A30" w:rsidRDefault="00B650D2" w:rsidP="003160D7"/>
        </w:tc>
      </w:tr>
    </w:tbl>
    <w:p w14:paraId="36BD34F8" w14:textId="77777777" w:rsidR="00B650D2" w:rsidRDefault="00B650D2"/>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122"/>
        <w:gridCol w:w="2034"/>
        <w:gridCol w:w="3185"/>
        <w:gridCol w:w="2191"/>
      </w:tblGrid>
      <w:tr w:rsidR="004E0CC1" w14:paraId="5FDC20B1" w14:textId="77777777" w:rsidTr="003160D7">
        <w:tc>
          <w:tcPr>
            <w:tcW w:w="10446" w:type="dxa"/>
            <w:gridSpan w:val="5"/>
            <w:shd w:val="clear" w:color="auto" w:fill="5B9BD5" w:themeFill="accent1"/>
          </w:tcPr>
          <w:p w14:paraId="13A5EF5B" w14:textId="77777777" w:rsidR="00B650D2" w:rsidRPr="005F20DB" w:rsidRDefault="00B650D2" w:rsidP="003160D7">
            <w:pPr>
              <w:rPr>
                <w:b/>
                <w:color w:val="FFFF00"/>
                <w:sz w:val="28"/>
                <w:szCs w:val="28"/>
              </w:rPr>
            </w:pPr>
            <w:r w:rsidRPr="00681F4B">
              <w:rPr>
                <w:b/>
                <w:color w:val="FFFFFF" w:themeColor="background1"/>
                <w:sz w:val="28"/>
                <w:szCs w:val="28"/>
              </w:rPr>
              <w:t>TC06  Total number of false alarms attended</w:t>
            </w:r>
          </w:p>
        </w:tc>
      </w:tr>
      <w:tr w:rsidR="004E0CC1" w14:paraId="4B3BA82E" w14:textId="77777777" w:rsidTr="00A25B0A">
        <w:tc>
          <w:tcPr>
            <w:tcW w:w="2914" w:type="dxa"/>
            <w:shd w:val="clear" w:color="auto" w:fill="FFFF00"/>
            <w:vAlign w:val="center"/>
          </w:tcPr>
          <w:p w14:paraId="1ADF0DB4" w14:textId="77777777" w:rsidR="00B650D2" w:rsidRDefault="00B650D2" w:rsidP="003160D7">
            <w:pPr>
              <w:jc w:val="center"/>
            </w:pPr>
            <w:r w:rsidRPr="00C63E5E">
              <w:t>Service Plan Target</w:t>
            </w:r>
          </w:p>
          <w:p w14:paraId="7A1D7F57" w14:textId="77777777" w:rsidR="00B650D2" w:rsidRDefault="00B650D2" w:rsidP="003160D7">
            <w:pPr>
              <w:jc w:val="center"/>
            </w:pPr>
            <w:r>
              <w:t>Apr-Dec 2023</w:t>
            </w:r>
          </w:p>
        </w:tc>
        <w:tc>
          <w:tcPr>
            <w:tcW w:w="2156" w:type="dxa"/>
            <w:gridSpan w:val="2"/>
            <w:shd w:val="clear" w:color="auto" w:fill="D9E2F3" w:themeFill="accent5" w:themeFillTint="33"/>
            <w:vAlign w:val="center"/>
          </w:tcPr>
          <w:p w14:paraId="58AB1B59" w14:textId="77777777" w:rsidR="00B650D2" w:rsidRPr="00117961" w:rsidRDefault="00B650D2" w:rsidP="003160D7">
            <w:pPr>
              <w:jc w:val="center"/>
              <w:rPr>
                <w:b/>
              </w:rPr>
            </w:pPr>
            <w:r>
              <w:rPr>
                <w:b/>
              </w:rPr>
              <w:t>4846</w:t>
            </w:r>
          </w:p>
        </w:tc>
        <w:tc>
          <w:tcPr>
            <w:tcW w:w="3185" w:type="dxa"/>
            <w:shd w:val="clear" w:color="auto" w:fill="FFFF00"/>
            <w:vAlign w:val="center"/>
          </w:tcPr>
          <w:p w14:paraId="37451128" w14:textId="77777777" w:rsidR="00B650D2" w:rsidRDefault="00B650D2" w:rsidP="003160D7">
            <w:pPr>
              <w:jc w:val="center"/>
            </w:pPr>
            <w:r w:rsidRPr="00C63E5E">
              <w:t>Progress to Date</w:t>
            </w:r>
          </w:p>
        </w:tc>
        <w:tc>
          <w:tcPr>
            <w:tcW w:w="2191" w:type="dxa"/>
            <w:shd w:val="clear" w:color="auto" w:fill="FFC000"/>
            <w:vAlign w:val="center"/>
          </w:tcPr>
          <w:p w14:paraId="6FAFED9E" w14:textId="77777777" w:rsidR="00B650D2" w:rsidRPr="006C577F" w:rsidRDefault="00B650D2" w:rsidP="003160D7">
            <w:pPr>
              <w:jc w:val="center"/>
              <w:rPr>
                <w:b/>
              </w:rPr>
            </w:pPr>
            <w:r>
              <w:rPr>
                <w:b/>
              </w:rPr>
              <w:t>5213</w:t>
            </w:r>
          </w:p>
        </w:tc>
      </w:tr>
      <w:tr w:rsidR="004E0CC1" w14:paraId="54A01E0C" w14:textId="77777777" w:rsidTr="00F737A5">
        <w:tc>
          <w:tcPr>
            <w:tcW w:w="10446" w:type="dxa"/>
            <w:gridSpan w:val="5"/>
          </w:tcPr>
          <w:p w14:paraId="4AAFC833" w14:textId="77777777" w:rsidR="00B650D2" w:rsidRDefault="00B650D2" w:rsidP="001A63FE">
            <w:pPr>
              <w:jc w:val="center"/>
              <w:rPr>
                <w:noProof/>
                <w:lang w:eastAsia="en-GB"/>
              </w:rPr>
            </w:pPr>
            <w:r>
              <w:rPr>
                <w:noProof/>
                <w:lang w:eastAsia="en-GB"/>
              </w:rPr>
              <w:drawing>
                <wp:inline distT="0" distB="0" distL="0" distR="0" wp14:anchorId="475113F7" wp14:editId="0C77C745">
                  <wp:extent cx="5772150" cy="2660400"/>
                  <wp:effectExtent l="0" t="0" r="0" b="6985"/>
                  <wp:docPr id="20" name="Chart 20">
                    <a:extLst xmlns:a="http://schemas.openxmlformats.org/drawingml/2006/main">
                      <a:ext uri="{FF2B5EF4-FFF2-40B4-BE49-F238E27FC236}">
                        <a16:creationId xmlns:a16="http://schemas.microsoft.com/office/drawing/2014/main" id="{00000000-0008-0000-06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4E0CC1" w14:paraId="5F597F69" w14:textId="77777777" w:rsidTr="00A25B0A">
        <w:tc>
          <w:tcPr>
            <w:tcW w:w="5070" w:type="dxa"/>
            <w:gridSpan w:val="3"/>
          </w:tcPr>
          <w:p w14:paraId="1DADA42E" w14:textId="77777777" w:rsidR="00B650D2" w:rsidRPr="007A1AAD" w:rsidRDefault="00B650D2" w:rsidP="003160D7">
            <w:pPr>
              <w:rPr>
                <w:b/>
              </w:rPr>
            </w:pPr>
            <w:r w:rsidRPr="007A1AAD">
              <w:rPr>
                <w:b/>
              </w:rPr>
              <w:t>TC06 Total number of false alarms attended</w:t>
            </w:r>
          </w:p>
          <w:p w14:paraId="298028D1" w14:textId="77777777" w:rsidR="00B650D2" w:rsidRDefault="00B650D2" w:rsidP="003160D7"/>
        </w:tc>
        <w:tc>
          <w:tcPr>
            <w:tcW w:w="5376" w:type="dxa"/>
            <w:gridSpan w:val="2"/>
            <w:shd w:val="clear" w:color="auto" w:fill="FFC000"/>
          </w:tcPr>
          <w:p w14:paraId="34AAA4EE" w14:textId="77777777" w:rsidR="00B650D2" w:rsidRDefault="00B650D2" w:rsidP="003160D7"/>
          <w:p w14:paraId="1186117C" w14:textId="77777777" w:rsidR="00B650D2" w:rsidRDefault="00B650D2" w:rsidP="003160D7"/>
        </w:tc>
      </w:tr>
      <w:tr w:rsidR="004E0CC1" w14:paraId="71CCAA37" w14:textId="77777777" w:rsidTr="003160D7">
        <w:tc>
          <w:tcPr>
            <w:tcW w:w="3036" w:type="dxa"/>
            <w:gridSpan w:val="2"/>
          </w:tcPr>
          <w:p w14:paraId="0779D649" w14:textId="77777777" w:rsidR="00B650D2" w:rsidRDefault="00B650D2" w:rsidP="003160D7">
            <w:pPr>
              <w:rPr>
                <w:b/>
              </w:rPr>
            </w:pPr>
            <w:r w:rsidRPr="007A1AAD">
              <w:rPr>
                <w:b/>
              </w:rPr>
              <w:t>TC06</w:t>
            </w:r>
          </w:p>
          <w:p w14:paraId="681E5AA6" w14:textId="77777777" w:rsidR="00B650D2" w:rsidRDefault="00B650D2" w:rsidP="003160D7">
            <w:pPr>
              <w:rPr>
                <w:b/>
              </w:rPr>
            </w:pPr>
          </w:p>
          <w:p w14:paraId="6F8891FB" w14:textId="77777777" w:rsidR="00B650D2" w:rsidRDefault="00B650D2" w:rsidP="003160D7">
            <w:pPr>
              <w:rPr>
                <w:b/>
              </w:rPr>
            </w:pPr>
          </w:p>
          <w:p w14:paraId="655537CD" w14:textId="77777777" w:rsidR="00B650D2" w:rsidRDefault="00B650D2" w:rsidP="003160D7">
            <w:pPr>
              <w:rPr>
                <w:b/>
              </w:rPr>
            </w:pPr>
          </w:p>
          <w:p w14:paraId="114AA9CA" w14:textId="77777777" w:rsidR="00B650D2" w:rsidRDefault="00B650D2" w:rsidP="003160D7">
            <w:pPr>
              <w:rPr>
                <w:b/>
              </w:rPr>
            </w:pPr>
          </w:p>
          <w:p w14:paraId="78605696" w14:textId="77777777" w:rsidR="00B650D2" w:rsidRDefault="00B650D2" w:rsidP="003160D7">
            <w:pPr>
              <w:rPr>
                <w:b/>
              </w:rPr>
            </w:pPr>
            <w:r>
              <w:rPr>
                <w:b/>
              </w:rPr>
              <w:t>FC24</w:t>
            </w:r>
          </w:p>
          <w:p w14:paraId="22E6BF24" w14:textId="77777777" w:rsidR="00B650D2" w:rsidRDefault="00B650D2" w:rsidP="003160D7">
            <w:pPr>
              <w:rPr>
                <w:b/>
              </w:rPr>
            </w:pPr>
          </w:p>
          <w:p w14:paraId="093F8B4B" w14:textId="77777777" w:rsidR="00B650D2" w:rsidRDefault="00B650D2" w:rsidP="003160D7">
            <w:pPr>
              <w:rPr>
                <w:b/>
              </w:rPr>
            </w:pPr>
          </w:p>
          <w:p w14:paraId="65CF6D19" w14:textId="77777777" w:rsidR="00B650D2" w:rsidRDefault="00B650D2" w:rsidP="003160D7">
            <w:pPr>
              <w:rPr>
                <w:b/>
              </w:rPr>
            </w:pPr>
          </w:p>
          <w:p w14:paraId="61994267" w14:textId="77777777" w:rsidR="00B650D2" w:rsidRDefault="00B650D2" w:rsidP="003160D7">
            <w:pPr>
              <w:rPr>
                <w:b/>
              </w:rPr>
            </w:pPr>
          </w:p>
          <w:p w14:paraId="4F955FF4" w14:textId="77777777" w:rsidR="00B650D2" w:rsidRPr="007A1AAD" w:rsidRDefault="00B650D2" w:rsidP="003160D7">
            <w:pPr>
              <w:rPr>
                <w:b/>
              </w:rPr>
            </w:pPr>
            <w:r>
              <w:rPr>
                <w:b/>
              </w:rPr>
              <w:t>FC14</w:t>
            </w:r>
          </w:p>
        </w:tc>
        <w:tc>
          <w:tcPr>
            <w:tcW w:w="7410" w:type="dxa"/>
            <w:gridSpan w:val="3"/>
          </w:tcPr>
          <w:p w14:paraId="308EFB1E" w14:textId="77777777" w:rsidR="00B650D2" w:rsidRDefault="00B650D2" w:rsidP="003160D7">
            <w:r>
              <w:t xml:space="preserve">The number of false alarms attended (5213) have increased when compared to last year (4839) but this remains within 10% of the cumulative target for Q3 2023/24 (4846).  False Alarms Good Intent account for a large proportion of these incidents.   </w:t>
            </w:r>
          </w:p>
          <w:p w14:paraId="784481D1" w14:textId="77777777" w:rsidR="00B650D2" w:rsidRDefault="00B650D2" w:rsidP="00F754B6">
            <w:pPr>
              <w:pStyle w:val="pf0"/>
            </w:pPr>
            <w:r w:rsidRPr="00F754B6">
              <w:rPr>
                <w:rFonts w:cstheme="minorHAnsi"/>
              </w:rPr>
              <w:t>The tota</w:t>
            </w:r>
            <w:r w:rsidRPr="00F754B6">
              <w:rPr>
                <w:rFonts w:cstheme="minorHAnsi"/>
              </w:rPr>
              <w:t>l number of False Alarm Good Intent incidents attended during the year April to December 2023 was 2775.  This is 320 more than at the same period in 2022 (2455) there is no target for this indicator as we do not want to discourage calls.  During the year w</w:t>
            </w:r>
            <w:r w:rsidRPr="00F754B6">
              <w:rPr>
                <w:rFonts w:cstheme="minorHAnsi"/>
              </w:rPr>
              <w:t xml:space="preserve">e </w:t>
            </w:r>
            <w:r w:rsidRPr="00F754B6">
              <w:rPr>
                <w:rStyle w:val="cf01"/>
                <w:rFonts w:asciiTheme="minorHAnsi" w:hAnsiTheme="minorHAnsi" w:cstheme="minorHAnsi"/>
                <w:sz w:val="22"/>
                <w:szCs w:val="22"/>
              </w:rPr>
              <w:t>re-categorised some calls to differentiate between calls received from an automatic fire alarm system (via a call receiving centre) and those received from a neighbour or other person who heard (or thought they heard) a fire alarm sounding</w:t>
            </w:r>
            <w:r>
              <w:rPr>
                <w:rStyle w:val="cf01"/>
                <w:rFonts w:asciiTheme="minorHAnsi" w:hAnsiTheme="minorHAnsi" w:cstheme="minorHAnsi"/>
                <w:sz w:val="22"/>
                <w:szCs w:val="22"/>
              </w:rPr>
              <w:t xml:space="preserve">.  </w:t>
            </w:r>
          </w:p>
          <w:p w14:paraId="7735198C" w14:textId="77777777" w:rsidR="00B650D2" w:rsidRDefault="00B650D2" w:rsidP="00325D5D">
            <w:r>
              <w:t xml:space="preserve">Smoke alarm actuations in domestic premises from Alarm Receiving Centres have increased from 1904 last year to 1950 during 2023/24, 117 over target. </w:t>
            </w:r>
          </w:p>
          <w:p w14:paraId="4B21FBFB" w14:textId="77777777" w:rsidR="00B650D2" w:rsidRDefault="00B650D2" w:rsidP="00325D5D"/>
        </w:tc>
      </w:tr>
    </w:tbl>
    <w:p w14:paraId="53AAFE9C" w14:textId="77777777" w:rsidR="00B650D2" w:rsidRDefault="00B650D2"/>
    <w:tbl>
      <w:tblPr>
        <w:tblStyle w:val="TableGrid"/>
        <w:tblpPr w:leftFromText="180" w:rightFromText="180" w:vertAnchor="text" w:horzAnchor="margin" w:tblpY="1"/>
        <w:tblOverlap w:val="never"/>
        <w:tblW w:w="10338"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2825"/>
        <w:gridCol w:w="1843"/>
        <w:gridCol w:w="2268"/>
        <w:gridCol w:w="3402"/>
      </w:tblGrid>
      <w:tr w:rsidR="004E0CC1" w14:paraId="488A74D0" w14:textId="77777777" w:rsidTr="003160D7">
        <w:tc>
          <w:tcPr>
            <w:tcW w:w="10338" w:type="dxa"/>
            <w:gridSpan w:val="4"/>
            <w:shd w:val="clear" w:color="auto" w:fill="5B9BD5" w:themeFill="accent1"/>
          </w:tcPr>
          <w:p w14:paraId="61F67F9C" w14:textId="77777777" w:rsidR="00B650D2" w:rsidRPr="005F20DB" w:rsidRDefault="00B650D2" w:rsidP="003160D7">
            <w:pPr>
              <w:rPr>
                <w:b/>
                <w:color w:val="FFFFFF" w:themeColor="background1"/>
                <w:sz w:val="28"/>
                <w:szCs w:val="28"/>
              </w:rPr>
            </w:pPr>
            <w:r w:rsidRPr="00681F4B">
              <w:rPr>
                <w:b/>
                <w:color w:val="FFFFFF" w:themeColor="background1"/>
                <w:sz w:val="28"/>
                <w:szCs w:val="28"/>
              </w:rPr>
              <w:t>TR08  Attendance standard – the first attendance of an appliance at all life risk incidents in 10 minut</w:t>
            </w:r>
            <w:r w:rsidRPr="00681F4B">
              <w:rPr>
                <w:b/>
                <w:color w:val="FFFFFF" w:themeColor="background1"/>
                <w:sz w:val="28"/>
                <w:szCs w:val="28"/>
              </w:rPr>
              <w:t>es</w:t>
            </w:r>
          </w:p>
        </w:tc>
      </w:tr>
      <w:tr w:rsidR="004E0CC1" w14:paraId="6B060682" w14:textId="77777777" w:rsidTr="003160D7">
        <w:trPr>
          <w:trHeight w:val="567"/>
        </w:trPr>
        <w:tc>
          <w:tcPr>
            <w:tcW w:w="2825" w:type="dxa"/>
            <w:shd w:val="clear" w:color="auto" w:fill="FFFF00"/>
            <w:vAlign w:val="center"/>
          </w:tcPr>
          <w:p w14:paraId="02B0340C" w14:textId="77777777" w:rsidR="00B650D2" w:rsidRDefault="00B650D2" w:rsidP="003160D7">
            <w:pPr>
              <w:jc w:val="center"/>
            </w:pPr>
            <w:r w:rsidRPr="00C63E5E">
              <w:t>Service Plan Target</w:t>
            </w:r>
          </w:p>
          <w:p w14:paraId="3CC953BA" w14:textId="77777777" w:rsidR="00B650D2" w:rsidRDefault="00B650D2" w:rsidP="003160D7">
            <w:pPr>
              <w:jc w:val="center"/>
            </w:pPr>
            <w:r>
              <w:t>Apr-Dec 2023</w:t>
            </w:r>
          </w:p>
        </w:tc>
        <w:tc>
          <w:tcPr>
            <w:tcW w:w="1843" w:type="dxa"/>
            <w:shd w:val="clear" w:color="auto" w:fill="D9E2F3" w:themeFill="accent5" w:themeFillTint="33"/>
            <w:vAlign w:val="center"/>
          </w:tcPr>
          <w:p w14:paraId="129DD639" w14:textId="77777777" w:rsidR="00B650D2" w:rsidRPr="00117961" w:rsidRDefault="00B650D2" w:rsidP="003160D7">
            <w:pPr>
              <w:jc w:val="center"/>
              <w:rPr>
                <w:b/>
              </w:rPr>
            </w:pPr>
            <w:r w:rsidRPr="00117961">
              <w:rPr>
                <w:b/>
              </w:rPr>
              <w:t>90%</w:t>
            </w:r>
          </w:p>
        </w:tc>
        <w:tc>
          <w:tcPr>
            <w:tcW w:w="2268" w:type="dxa"/>
            <w:shd w:val="clear" w:color="auto" w:fill="FFFF00"/>
            <w:vAlign w:val="center"/>
          </w:tcPr>
          <w:p w14:paraId="4C301668" w14:textId="77777777" w:rsidR="00B650D2" w:rsidRDefault="00B650D2" w:rsidP="003160D7">
            <w:pPr>
              <w:jc w:val="center"/>
            </w:pPr>
            <w:r w:rsidRPr="00C63E5E">
              <w:t>Progress to Date</w:t>
            </w:r>
          </w:p>
        </w:tc>
        <w:tc>
          <w:tcPr>
            <w:tcW w:w="3402" w:type="dxa"/>
            <w:shd w:val="clear" w:color="auto" w:fill="00B050"/>
            <w:vAlign w:val="center"/>
          </w:tcPr>
          <w:p w14:paraId="6BD87B7B" w14:textId="77777777" w:rsidR="00B650D2" w:rsidRPr="00681F4B" w:rsidRDefault="00B650D2" w:rsidP="003160D7">
            <w:pPr>
              <w:jc w:val="center"/>
              <w:rPr>
                <w:b/>
                <w:color w:val="FFFFFF" w:themeColor="background1"/>
              </w:rPr>
            </w:pPr>
            <w:r>
              <w:rPr>
                <w:b/>
                <w:color w:val="FFFFFF" w:themeColor="background1"/>
              </w:rPr>
              <w:t>95.9</w:t>
            </w:r>
            <w:r w:rsidRPr="003A7EC2">
              <w:rPr>
                <w:b/>
                <w:color w:val="FFFFFF" w:themeColor="background1"/>
              </w:rPr>
              <w:t>%</w:t>
            </w:r>
          </w:p>
        </w:tc>
      </w:tr>
      <w:tr w:rsidR="004E0CC1" w14:paraId="37416D2A" w14:textId="77777777" w:rsidTr="00F737A5">
        <w:tc>
          <w:tcPr>
            <w:tcW w:w="10338" w:type="dxa"/>
            <w:gridSpan w:val="4"/>
          </w:tcPr>
          <w:p w14:paraId="6134878F" w14:textId="77777777" w:rsidR="00B650D2" w:rsidRDefault="00B650D2" w:rsidP="001A63FE">
            <w:pPr>
              <w:jc w:val="center"/>
              <w:rPr>
                <w:noProof/>
                <w:lang w:eastAsia="en-GB"/>
              </w:rPr>
            </w:pPr>
            <w:r>
              <w:rPr>
                <w:noProof/>
                <w:lang w:eastAsia="en-GB"/>
              </w:rPr>
              <w:drawing>
                <wp:inline distT="0" distB="0" distL="0" distR="0" wp14:anchorId="6A24620E" wp14:editId="10D29193">
                  <wp:extent cx="5772150" cy="2660400"/>
                  <wp:effectExtent l="0" t="0" r="0" b="6985"/>
                  <wp:docPr id="21" name="Chart 21">
                    <a:extLst xmlns:a="http://schemas.openxmlformats.org/drawingml/2006/main">
                      <a:ext uri="{FF2B5EF4-FFF2-40B4-BE49-F238E27FC236}">
                        <a16:creationId xmlns:a16="http://schemas.microsoft.com/office/drawing/2014/main" id="{00000000-0008-0000-06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036"/>
        <w:gridCol w:w="2175"/>
        <w:gridCol w:w="5127"/>
      </w:tblGrid>
      <w:tr w:rsidR="004E0CC1" w14:paraId="1989F115" w14:textId="77777777" w:rsidTr="003160D7">
        <w:tc>
          <w:tcPr>
            <w:tcW w:w="5211" w:type="dxa"/>
            <w:gridSpan w:val="2"/>
            <w:vMerge w:val="restart"/>
          </w:tcPr>
          <w:p w14:paraId="6405B388" w14:textId="77777777" w:rsidR="00B650D2" w:rsidRPr="007A1AAD" w:rsidRDefault="00B650D2" w:rsidP="003160D7">
            <w:pPr>
              <w:rPr>
                <w:b/>
              </w:rPr>
            </w:pPr>
            <w:r w:rsidRPr="007A1AAD">
              <w:rPr>
                <w:b/>
              </w:rPr>
              <w:t>TR08 Attendance Standard – first attendance of an appliance at all life risk incidents in 10 minutes</w:t>
            </w:r>
          </w:p>
          <w:p w14:paraId="49C548FD" w14:textId="77777777" w:rsidR="00B650D2" w:rsidRDefault="00B650D2" w:rsidP="003160D7">
            <w:r w:rsidRPr="007A1AAD">
              <w:rPr>
                <w:b/>
              </w:rPr>
              <w:t>DR23 Alert to mobile in under 1.9 minutes</w:t>
            </w:r>
          </w:p>
        </w:tc>
        <w:tc>
          <w:tcPr>
            <w:tcW w:w="5127" w:type="dxa"/>
            <w:shd w:val="clear" w:color="auto" w:fill="00B050"/>
          </w:tcPr>
          <w:p w14:paraId="308DF0EC" w14:textId="77777777" w:rsidR="00B650D2" w:rsidRDefault="00B650D2" w:rsidP="003160D7"/>
          <w:p w14:paraId="50604D7F" w14:textId="77777777" w:rsidR="00B650D2" w:rsidRDefault="00B650D2" w:rsidP="003160D7"/>
        </w:tc>
      </w:tr>
      <w:tr w:rsidR="004E0CC1" w14:paraId="6092D8BA" w14:textId="77777777" w:rsidTr="003160D7">
        <w:tc>
          <w:tcPr>
            <w:tcW w:w="5211" w:type="dxa"/>
            <w:gridSpan w:val="2"/>
            <w:vMerge/>
          </w:tcPr>
          <w:p w14:paraId="5BF27457" w14:textId="77777777" w:rsidR="00B650D2" w:rsidRDefault="00B650D2" w:rsidP="003160D7"/>
        </w:tc>
        <w:tc>
          <w:tcPr>
            <w:tcW w:w="5127" w:type="dxa"/>
            <w:shd w:val="clear" w:color="auto" w:fill="00B050"/>
          </w:tcPr>
          <w:p w14:paraId="7F6612E8" w14:textId="77777777" w:rsidR="00B650D2" w:rsidRDefault="00B650D2" w:rsidP="003160D7"/>
          <w:p w14:paraId="09F03E4D" w14:textId="77777777" w:rsidR="00B650D2" w:rsidRDefault="00B650D2" w:rsidP="003160D7"/>
        </w:tc>
      </w:tr>
      <w:tr w:rsidR="004E0CC1" w14:paraId="57A8DDA9" w14:textId="77777777" w:rsidTr="003160D7">
        <w:tc>
          <w:tcPr>
            <w:tcW w:w="3036" w:type="dxa"/>
          </w:tcPr>
          <w:p w14:paraId="7C913FB8" w14:textId="77777777" w:rsidR="00B650D2" w:rsidRDefault="00B650D2" w:rsidP="003160D7"/>
          <w:p w14:paraId="6B46621D" w14:textId="77777777" w:rsidR="00B650D2" w:rsidRPr="007A1AAD" w:rsidRDefault="00B650D2" w:rsidP="003160D7">
            <w:pPr>
              <w:rPr>
                <w:b/>
              </w:rPr>
            </w:pPr>
            <w:r w:rsidRPr="007A1AAD">
              <w:rPr>
                <w:b/>
              </w:rPr>
              <w:t>TR08</w:t>
            </w:r>
          </w:p>
        </w:tc>
        <w:tc>
          <w:tcPr>
            <w:tcW w:w="7302" w:type="dxa"/>
            <w:gridSpan w:val="2"/>
          </w:tcPr>
          <w:p w14:paraId="062EDE83" w14:textId="77777777" w:rsidR="00B650D2" w:rsidRDefault="00B650D2" w:rsidP="003160D7">
            <w:r>
              <w:t xml:space="preserve">Operational staff attained the attendance standard of the first attendance of an appliance at a life risk incident within 10 minutes on 95.9% of occasions, achieving the target of 90%.  </w:t>
            </w:r>
          </w:p>
          <w:p w14:paraId="4F1AF153" w14:textId="77777777" w:rsidR="00B650D2" w:rsidRDefault="00B650D2" w:rsidP="003160D7"/>
        </w:tc>
      </w:tr>
      <w:tr w:rsidR="004E0CC1" w14:paraId="4CBEC8D3" w14:textId="77777777" w:rsidTr="003160D7">
        <w:tc>
          <w:tcPr>
            <w:tcW w:w="3036" w:type="dxa"/>
          </w:tcPr>
          <w:p w14:paraId="044C7470" w14:textId="77777777" w:rsidR="00B650D2" w:rsidRDefault="00B650D2" w:rsidP="003160D7"/>
          <w:p w14:paraId="041BB094" w14:textId="77777777" w:rsidR="00B650D2" w:rsidRPr="007A1AAD" w:rsidRDefault="00B650D2" w:rsidP="003160D7">
            <w:pPr>
              <w:rPr>
                <w:b/>
              </w:rPr>
            </w:pPr>
            <w:r w:rsidRPr="007A1AAD">
              <w:rPr>
                <w:b/>
              </w:rPr>
              <w:t>DR23</w:t>
            </w:r>
          </w:p>
        </w:tc>
        <w:tc>
          <w:tcPr>
            <w:tcW w:w="7302" w:type="dxa"/>
            <w:gridSpan w:val="2"/>
          </w:tcPr>
          <w:p w14:paraId="3551C09C" w14:textId="77777777" w:rsidR="00B650D2" w:rsidRDefault="00B650D2" w:rsidP="003160D7">
            <w:r>
              <w:t>Crews when being mobilised to emergency incidents went from a</w:t>
            </w:r>
            <w:r>
              <w:t xml:space="preserve">lert to mobile in under 1.9 minutes on 95.9% of incidents achieving the target 95%.   </w:t>
            </w:r>
          </w:p>
          <w:p w14:paraId="1C56E5E8" w14:textId="77777777" w:rsidR="00B650D2" w:rsidRDefault="00B650D2" w:rsidP="003160D7"/>
        </w:tc>
      </w:tr>
    </w:tbl>
    <w:p w14:paraId="4E2B34CC" w14:textId="77777777" w:rsidR="00B650D2" w:rsidRDefault="00B650D2"/>
    <w:p w14:paraId="6A955065" w14:textId="77777777" w:rsidR="00B650D2" w:rsidRDefault="00B650D2"/>
    <w:p w14:paraId="7D3A2E2B" w14:textId="77777777" w:rsidR="00B650D2" w:rsidRDefault="00B650D2"/>
    <w:p w14:paraId="3C0A3503" w14:textId="77777777" w:rsidR="00B650D2" w:rsidRDefault="00B650D2"/>
    <w:p w14:paraId="6EA084A3" w14:textId="77777777" w:rsidR="00B650D2" w:rsidRDefault="00B650D2"/>
    <w:p w14:paraId="1F0D452C" w14:textId="77777777" w:rsidR="00B650D2" w:rsidRDefault="00B650D2"/>
    <w:p w14:paraId="5B236873" w14:textId="77777777" w:rsidR="00B650D2" w:rsidRDefault="00B650D2"/>
    <w:p w14:paraId="786AD7D8" w14:textId="77777777" w:rsidR="00B650D2" w:rsidRDefault="00B650D2"/>
    <w:p w14:paraId="35E77208" w14:textId="77777777" w:rsidR="00B650D2" w:rsidRDefault="00B650D2"/>
    <w:p w14:paraId="0B0E5A6D" w14:textId="77777777" w:rsidR="00B650D2" w:rsidRDefault="00B650D2"/>
    <w:tbl>
      <w:tblPr>
        <w:tblStyle w:val="TableGrid"/>
        <w:tblpPr w:leftFromText="180" w:rightFromText="180" w:vertAnchor="text" w:horzAnchor="margin" w:tblpY="-59"/>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036"/>
      </w:tblGrid>
      <w:tr w:rsidR="004E0CC1" w14:paraId="3871171B" w14:textId="77777777" w:rsidTr="003160D7">
        <w:trPr>
          <w:trHeight w:val="23"/>
        </w:trPr>
        <w:tc>
          <w:tcPr>
            <w:tcW w:w="10036" w:type="dxa"/>
            <w:tcBorders>
              <w:top w:val="nil"/>
              <w:left w:val="nil"/>
              <w:bottom w:val="nil"/>
              <w:right w:val="nil"/>
            </w:tcBorders>
            <w:shd w:val="clear" w:color="auto" w:fill="FFFFFF" w:themeFill="background1"/>
          </w:tcPr>
          <w:tbl>
            <w:tblPr>
              <w:tblStyle w:val="TableGrid"/>
              <w:tblpPr w:leftFromText="180" w:rightFromText="180" w:vertAnchor="text" w:horzAnchor="margin" w:tblpY="-52"/>
              <w:tblOverlap w:val="never"/>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493"/>
              <w:gridCol w:w="474"/>
              <w:gridCol w:w="1427"/>
              <w:gridCol w:w="1408"/>
              <w:gridCol w:w="1467"/>
              <w:gridCol w:w="2502"/>
            </w:tblGrid>
            <w:tr w:rsidR="004E0CC1" w14:paraId="3163712B" w14:textId="77777777" w:rsidTr="003160D7">
              <w:tc>
                <w:tcPr>
                  <w:tcW w:w="9771" w:type="dxa"/>
                  <w:gridSpan w:val="6"/>
                  <w:shd w:val="clear" w:color="auto" w:fill="5B9BD5" w:themeFill="accent1"/>
                </w:tcPr>
                <w:p w14:paraId="40AFBFF2" w14:textId="77777777" w:rsidR="00B650D2" w:rsidRPr="005F20DB" w:rsidRDefault="00B650D2" w:rsidP="003160D7">
                  <w:pPr>
                    <w:rPr>
                      <w:b/>
                      <w:color w:val="FFFF00"/>
                      <w:sz w:val="28"/>
                      <w:szCs w:val="28"/>
                    </w:rPr>
                  </w:pPr>
                  <w:r w:rsidRPr="00681F4B">
                    <w:rPr>
                      <w:b/>
                      <w:color w:val="FFFFFF" w:themeColor="background1"/>
                      <w:sz w:val="28"/>
                      <w:szCs w:val="28"/>
                    </w:rPr>
                    <w:t>TD09  The % of available shifts lost to sickness absence, all personnel</w:t>
                  </w:r>
                </w:p>
              </w:tc>
            </w:tr>
            <w:tr w:rsidR="004E0CC1" w14:paraId="06904AF8" w14:textId="77777777" w:rsidTr="001C5CFE">
              <w:trPr>
                <w:trHeight w:val="567"/>
              </w:trPr>
              <w:tc>
                <w:tcPr>
                  <w:tcW w:w="2493" w:type="dxa"/>
                  <w:shd w:val="clear" w:color="auto" w:fill="FFFF00"/>
                  <w:vAlign w:val="center"/>
                </w:tcPr>
                <w:p w14:paraId="4EF958AF" w14:textId="77777777" w:rsidR="00B650D2" w:rsidRDefault="00B650D2" w:rsidP="003160D7">
                  <w:pPr>
                    <w:jc w:val="center"/>
                  </w:pPr>
                  <w:r w:rsidRPr="00C63E5E">
                    <w:t>Service Plan Target</w:t>
                  </w:r>
                </w:p>
                <w:p w14:paraId="4ECC1827" w14:textId="77777777" w:rsidR="00B650D2" w:rsidRDefault="00B650D2" w:rsidP="003160D7">
                  <w:pPr>
                    <w:jc w:val="center"/>
                  </w:pPr>
                  <w:r>
                    <w:t>Apr-Dec 2023</w:t>
                  </w:r>
                </w:p>
              </w:tc>
              <w:tc>
                <w:tcPr>
                  <w:tcW w:w="1901" w:type="dxa"/>
                  <w:gridSpan w:val="2"/>
                  <w:shd w:val="clear" w:color="auto" w:fill="D9E2F3" w:themeFill="accent5" w:themeFillTint="33"/>
                  <w:vAlign w:val="center"/>
                </w:tcPr>
                <w:p w14:paraId="06C75D33" w14:textId="77777777" w:rsidR="00B650D2" w:rsidRPr="00117961" w:rsidRDefault="00B650D2" w:rsidP="003160D7">
                  <w:pPr>
                    <w:jc w:val="center"/>
                    <w:rPr>
                      <w:b/>
                    </w:rPr>
                  </w:pPr>
                  <w:r w:rsidRPr="00117961">
                    <w:rPr>
                      <w:b/>
                    </w:rPr>
                    <w:t>4%</w:t>
                  </w:r>
                </w:p>
              </w:tc>
              <w:tc>
                <w:tcPr>
                  <w:tcW w:w="2875" w:type="dxa"/>
                  <w:gridSpan w:val="2"/>
                  <w:shd w:val="clear" w:color="auto" w:fill="FFFF00"/>
                  <w:vAlign w:val="center"/>
                </w:tcPr>
                <w:p w14:paraId="294F1684" w14:textId="77777777" w:rsidR="00B650D2" w:rsidRDefault="00B650D2" w:rsidP="003160D7">
                  <w:pPr>
                    <w:jc w:val="center"/>
                  </w:pPr>
                  <w:r w:rsidRPr="00C63E5E">
                    <w:t>Progress to Date</w:t>
                  </w:r>
                </w:p>
              </w:tc>
              <w:tc>
                <w:tcPr>
                  <w:tcW w:w="2502" w:type="dxa"/>
                  <w:shd w:val="clear" w:color="auto" w:fill="FFC000"/>
                  <w:vAlign w:val="center"/>
                </w:tcPr>
                <w:p w14:paraId="5A1F8724" w14:textId="77777777" w:rsidR="00B650D2" w:rsidRPr="00CB375D" w:rsidRDefault="00B650D2" w:rsidP="00CB375D">
                  <w:pPr>
                    <w:jc w:val="center"/>
                    <w:rPr>
                      <w:bCs/>
                      <w:color w:val="000000" w:themeColor="text1"/>
                    </w:rPr>
                  </w:pPr>
                  <w:r>
                    <w:rPr>
                      <w:b/>
                      <w:color w:val="000000" w:themeColor="text1"/>
                    </w:rPr>
                    <w:t>4.39</w:t>
                  </w:r>
                  <w:r w:rsidRPr="001C5CFE">
                    <w:rPr>
                      <w:b/>
                      <w:color w:val="000000" w:themeColor="text1"/>
                    </w:rPr>
                    <w:t>%</w:t>
                  </w:r>
                </w:p>
              </w:tc>
            </w:tr>
            <w:tr w:rsidR="004E0CC1" w14:paraId="48DFDFDB" w14:textId="77777777" w:rsidTr="00F737A5">
              <w:tc>
                <w:tcPr>
                  <w:tcW w:w="9771" w:type="dxa"/>
                  <w:gridSpan w:val="6"/>
                </w:tcPr>
                <w:p w14:paraId="6898CC3B" w14:textId="77777777" w:rsidR="00B650D2" w:rsidRDefault="00B650D2" w:rsidP="001A63FE">
                  <w:pPr>
                    <w:jc w:val="center"/>
                    <w:rPr>
                      <w:noProof/>
                      <w:lang w:eastAsia="en-GB"/>
                    </w:rPr>
                  </w:pPr>
                  <w:r>
                    <w:rPr>
                      <w:noProof/>
                      <w:lang w:eastAsia="en-GB"/>
                    </w:rPr>
                    <w:drawing>
                      <wp:inline distT="0" distB="0" distL="0" distR="0" wp14:anchorId="792769C0" wp14:editId="7810D12D">
                        <wp:extent cx="5772150" cy="2660400"/>
                        <wp:effectExtent l="0" t="0" r="0" b="6985"/>
                        <wp:docPr id="22" name="Chart 22">
                          <a:extLst xmlns:a="http://schemas.openxmlformats.org/drawingml/2006/main">
                            <a:ext uri="{FF2B5EF4-FFF2-40B4-BE49-F238E27FC236}">
                              <a16:creationId xmlns:a16="http://schemas.microsoft.com/office/drawing/2014/main" id="{00000000-0008-0000-06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4E0CC1" w14:paraId="2189FBB9" w14:textId="77777777" w:rsidTr="003160D7">
              <w:tc>
                <w:tcPr>
                  <w:tcW w:w="9771" w:type="dxa"/>
                  <w:gridSpan w:val="6"/>
                  <w:shd w:val="clear" w:color="auto" w:fill="5B9BD5" w:themeFill="accent1"/>
                </w:tcPr>
                <w:p w14:paraId="4F9BA807" w14:textId="77777777" w:rsidR="00B650D2" w:rsidRPr="005359B6" w:rsidRDefault="00B650D2" w:rsidP="003160D7">
                  <w:pPr>
                    <w:jc w:val="center"/>
                    <w:rPr>
                      <w:b/>
                      <w:color w:val="FFFFFF" w:themeColor="background1"/>
                    </w:rPr>
                  </w:pPr>
                  <w:r w:rsidRPr="00093823">
                    <w:rPr>
                      <w:b/>
                      <w:color w:val="FFFFFF" w:themeColor="background1"/>
                      <w:sz w:val="24"/>
                    </w:rPr>
                    <w:t>COMMENTARY:</w:t>
                  </w:r>
                </w:p>
              </w:tc>
            </w:tr>
            <w:tr w:rsidR="004E0CC1" w14:paraId="1DF1379C" w14:textId="77777777" w:rsidTr="001C5CFE">
              <w:trPr>
                <w:trHeight w:val="284"/>
              </w:trPr>
              <w:tc>
                <w:tcPr>
                  <w:tcW w:w="5802" w:type="dxa"/>
                  <w:gridSpan w:val="4"/>
                  <w:shd w:val="clear" w:color="auto" w:fill="auto"/>
                </w:tcPr>
                <w:p w14:paraId="458AA041" w14:textId="77777777" w:rsidR="00B650D2" w:rsidRPr="005359B6" w:rsidRDefault="00B650D2" w:rsidP="003160D7">
                  <w:pPr>
                    <w:rPr>
                      <w:b/>
                      <w:color w:val="FFFFFF" w:themeColor="background1"/>
                    </w:rPr>
                  </w:pPr>
                  <w:r w:rsidRPr="00681F4B">
                    <w:rPr>
                      <w:b/>
                      <w:szCs w:val="24"/>
                    </w:rPr>
                    <w:t>TD09 The % of available shifts lost to sickness absence, all personnel</w:t>
                  </w:r>
                </w:p>
              </w:tc>
              <w:tc>
                <w:tcPr>
                  <w:tcW w:w="3969" w:type="dxa"/>
                  <w:gridSpan w:val="2"/>
                  <w:shd w:val="clear" w:color="auto" w:fill="FFC000"/>
                </w:tcPr>
                <w:p w14:paraId="7232B25B" w14:textId="77777777" w:rsidR="00B650D2" w:rsidRPr="005359B6" w:rsidRDefault="00B650D2" w:rsidP="003160D7">
                  <w:pPr>
                    <w:rPr>
                      <w:b/>
                      <w:color w:val="FFFFFF" w:themeColor="background1"/>
                    </w:rPr>
                  </w:pPr>
                </w:p>
              </w:tc>
            </w:tr>
            <w:tr w:rsidR="004E0CC1" w14:paraId="65DF5F17" w14:textId="77777777" w:rsidTr="003160D7">
              <w:trPr>
                <w:trHeight w:val="284"/>
              </w:trPr>
              <w:tc>
                <w:tcPr>
                  <w:tcW w:w="5802" w:type="dxa"/>
                  <w:gridSpan w:val="4"/>
                  <w:shd w:val="clear" w:color="auto" w:fill="auto"/>
                </w:tcPr>
                <w:p w14:paraId="49EF1A89" w14:textId="77777777" w:rsidR="00B650D2" w:rsidRPr="005359B6" w:rsidRDefault="00B650D2" w:rsidP="003160D7">
                  <w:pPr>
                    <w:rPr>
                      <w:b/>
                      <w:color w:val="FFFFFF" w:themeColor="background1"/>
                    </w:rPr>
                  </w:pPr>
                  <w:r w:rsidRPr="00681F4B">
                    <w:rPr>
                      <w:b/>
                      <w:szCs w:val="24"/>
                    </w:rPr>
                    <w:t>WD11 The % of available shifts lost to sickness absence per wholetime equivalent GREY book (operational) personnel</w:t>
                  </w:r>
                </w:p>
              </w:tc>
              <w:tc>
                <w:tcPr>
                  <w:tcW w:w="3969" w:type="dxa"/>
                  <w:gridSpan w:val="2"/>
                  <w:shd w:val="clear" w:color="auto" w:fill="FF0000"/>
                </w:tcPr>
                <w:p w14:paraId="74D9E2D1" w14:textId="77777777" w:rsidR="00B650D2" w:rsidRPr="005359B6" w:rsidRDefault="00B650D2" w:rsidP="003160D7">
                  <w:pPr>
                    <w:rPr>
                      <w:b/>
                      <w:color w:val="FFFFFF" w:themeColor="background1"/>
                    </w:rPr>
                  </w:pPr>
                </w:p>
              </w:tc>
            </w:tr>
            <w:tr w:rsidR="004E0CC1" w14:paraId="3B9F06DB" w14:textId="77777777" w:rsidTr="001C5CFE">
              <w:trPr>
                <w:trHeight w:val="284"/>
              </w:trPr>
              <w:tc>
                <w:tcPr>
                  <w:tcW w:w="5802" w:type="dxa"/>
                  <w:gridSpan w:val="4"/>
                  <w:shd w:val="clear" w:color="auto" w:fill="auto"/>
                </w:tcPr>
                <w:p w14:paraId="454FD63D" w14:textId="77777777" w:rsidR="00B650D2" w:rsidRPr="005359B6" w:rsidRDefault="00B650D2" w:rsidP="003160D7">
                  <w:pPr>
                    <w:rPr>
                      <w:b/>
                      <w:color w:val="FFFFFF" w:themeColor="background1"/>
                    </w:rPr>
                  </w:pPr>
                  <w:r w:rsidRPr="00681F4B">
                    <w:rPr>
                      <w:b/>
                      <w:szCs w:val="24"/>
                    </w:rPr>
                    <w:t xml:space="preserve">WD12 The % of available shifts lost to </w:t>
                  </w:r>
                  <w:r w:rsidRPr="00681F4B">
                    <w:rPr>
                      <w:b/>
                      <w:szCs w:val="24"/>
                    </w:rPr>
                    <w:t>sickness absence per wholetime equivalent GREEN &amp; RED book (non uniformed) personnel</w:t>
                  </w:r>
                </w:p>
              </w:tc>
              <w:tc>
                <w:tcPr>
                  <w:tcW w:w="3969" w:type="dxa"/>
                  <w:gridSpan w:val="2"/>
                  <w:shd w:val="clear" w:color="auto" w:fill="00B050"/>
                </w:tcPr>
                <w:p w14:paraId="22DAB6AE" w14:textId="77777777" w:rsidR="00B650D2" w:rsidRPr="005359B6" w:rsidRDefault="00B650D2" w:rsidP="003160D7">
                  <w:pPr>
                    <w:rPr>
                      <w:b/>
                      <w:color w:val="FFFFFF" w:themeColor="background1"/>
                    </w:rPr>
                  </w:pPr>
                </w:p>
              </w:tc>
            </w:tr>
            <w:tr w:rsidR="004E0CC1" w14:paraId="778F72A5" w14:textId="77777777" w:rsidTr="003160D7">
              <w:trPr>
                <w:trHeight w:val="276"/>
              </w:trPr>
              <w:tc>
                <w:tcPr>
                  <w:tcW w:w="2967" w:type="dxa"/>
                  <w:gridSpan w:val="2"/>
                  <w:shd w:val="clear" w:color="auto" w:fill="auto"/>
                </w:tcPr>
                <w:p w14:paraId="5ED6CAA3" w14:textId="77777777" w:rsidR="00B650D2" w:rsidRPr="005359B6" w:rsidRDefault="00B650D2" w:rsidP="003160D7">
                  <w:pPr>
                    <w:rPr>
                      <w:b/>
                      <w:color w:val="FFFFFF" w:themeColor="background1"/>
                    </w:rPr>
                  </w:pPr>
                  <w:r>
                    <w:rPr>
                      <w:b/>
                    </w:rPr>
                    <w:t>TD09</w:t>
                  </w:r>
                </w:p>
              </w:tc>
              <w:tc>
                <w:tcPr>
                  <w:tcW w:w="6804" w:type="dxa"/>
                  <w:gridSpan w:val="4"/>
                  <w:shd w:val="clear" w:color="auto" w:fill="auto"/>
                </w:tcPr>
                <w:p w14:paraId="7128A933" w14:textId="77777777" w:rsidR="00B650D2" w:rsidRDefault="00B650D2" w:rsidP="001C5CFE">
                  <w:r>
                    <w:t xml:space="preserve">For </w:t>
                  </w:r>
                  <w:r w:rsidRPr="004F73E9">
                    <w:t>all staff</w:t>
                  </w:r>
                  <w:r>
                    <w:t xml:space="preserve"> 4.39% shifts were </w:t>
                  </w:r>
                  <w:r w:rsidRPr="004F73E9">
                    <w:t xml:space="preserve">lost to sickness absence </w:t>
                  </w:r>
                  <w:r>
                    <w:t xml:space="preserve">during the period, which </w:t>
                  </w:r>
                  <w:r w:rsidRPr="004F73E9">
                    <w:t>exceeds th</w:t>
                  </w:r>
                  <w:r>
                    <w:t xml:space="preserve">e 4% target but is lower than performance at quarter 3 2022 when </w:t>
                  </w:r>
                  <w:r>
                    <w:t>absence was 5.16%.</w:t>
                  </w:r>
                </w:p>
                <w:p w14:paraId="3FF00F80" w14:textId="77777777" w:rsidR="00B650D2" w:rsidRPr="004F73E9" w:rsidRDefault="00B650D2" w:rsidP="001C5CFE">
                  <w:pPr>
                    <w:rPr>
                      <w:b/>
                      <w:color w:val="FFFFFF" w:themeColor="background1"/>
                    </w:rPr>
                  </w:pPr>
                </w:p>
              </w:tc>
            </w:tr>
            <w:tr w:rsidR="004E0CC1" w14:paraId="1B69C793" w14:textId="77777777" w:rsidTr="003160D7">
              <w:trPr>
                <w:trHeight w:val="276"/>
              </w:trPr>
              <w:tc>
                <w:tcPr>
                  <w:tcW w:w="2967" w:type="dxa"/>
                  <w:gridSpan w:val="2"/>
                  <w:shd w:val="clear" w:color="auto" w:fill="auto"/>
                </w:tcPr>
                <w:p w14:paraId="552E1947" w14:textId="77777777" w:rsidR="00B650D2" w:rsidRDefault="00B650D2" w:rsidP="003160D7">
                  <w:pPr>
                    <w:rPr>
                      <w:b/>
                    </w:rPr>
                  </w:pPr>
                  <w:r>
                    <w:rPr>
                      <w:b/>
                    </w:rPr>
                    <w:t>WD11</w:t>
                  </w:r>
                </w:p>
                <w:p w14:paraId="648CA403" w14:textId="77777777" w:rsidR="00B650D2" w:rsidRPr="005359B6" w:rsidRDefault="00B650D2" w:rsidP="003160D7">
                  <w:pPr>
                    <w:rPr>
                      <w:b/>
                      <w:color w:val="FFFFFF" w:themeColor="background1"/>
                    </w:rPr>
                  </w:pPr>
                  <w:r>
                    <w:rPr>
                      <w:b/>
                    </w:rPr>
                    <w:t>WD12</w:t>
                  </w:r>
                </w:p>
              </w:tc>
              <w:tc>
                <w:tcPr>
                  <w:tcW w:w="6804" w:type="dxa"/>
                  <w:gridSpan w:val="4"/>
                  <w:shd w:val="clear" w:color="auto" w:fill="auto"/>
                </w:tcPr>
                <w:p w14:paraId="027D0486" w14:textId="77777777" w:rsidR="00B650D2" w:rsidRDefault="00B650D2" w:rsidP="003160D7">
                  <w:r>
                    <w:t>Cumulatively, 4.77</w:t>
                  </w:r>
                  <w:r w:rsidRPr="004F73E9">
                    <w:t xml:space="preserve">% of shifts were lost to sickness absence among uniformed staff. </w:t>
                  </w:r>
                  <w:r>
                    <w:t>This is lower than at the end of the same quarter in 2022, when Grey Book absence was 5.79%.</w:t>
                  </w:r>
                </w:p>
                <w:p w14:paraId="11233EB5" w14:textId="77777777" w:rsidR="00B650D2" w:rsidRPr="004F73E9" w:rsidRDefault="00B650D2" w:rsidP="003160D7"/>
                <w:p w14:paraId="102957D0" w14:textId="77777777" w:rsidR="00B650D2" w:rsidRDefault="00B650D2" w:rsidP="003160D7">
                  <w:r w:rsidRPr="004F73E9">
                    <w:t>No</w:t>
                  </w:r>
                  <w:r>
                    <w:t>n-uniformed staff (Green and Red Book) absence</w:t>
                  </w:r>
                  <w:r>
                    <w:t xml:space="preserve"> in quarter 3 was 3.80</w:t>
                  </w:r>
                  <w:r w:rsidRPr="004F73E9">
                    <w:t>%.  Th</w:t>
                  </w:r>
                  <w:r>
                    <w:t>is is better than at Q3 2022 when 4.17% of available shifts were lost to sickness absence.</w:t>
                  </w:r>
                </w:p>
                <w:p w14:paraId="1D1A7791" w14:textId="77777777" w:rsidR="00B650D2" w:rsidRPr="004F73E9" w:rsidRDefault="00B650D2" w:rsidP="003160D7">
                  <w:pPr>
                    <w:rPr>
                      <w:b/>
                      <w:color w:val="FFFFFF" w:themeColor="background1"/>
                    </w:rPr>
                  </w:pPr>
                </w:p>
              </w:tc>
            </w:tr>
          </w:tbl>
          <w:p w14:paraId="441A1A55" w14:textId="77777777" w:rsidR="00B650D2" w:rsidRDefault="00B650D2" w:rsidP="003160D7">
            <w:pPr>
              <w:rPr>
                <w:b/>
                <w:color w:val="FFFFFF" w:themeColor="background1"/>
                <w:sz w:val="28"/>
                <w:szCs w:val="28"/>
              </w:rPr>
            </w:pPr>
          </w:p>
        </w:tc>
      </w:tr>
      <w:tr w:rsidR="004E0CC1" w14:paraId="681BA859" w14:textId="77777777" w:rsidTr="003160D7">
        <w:trPr>
          <w:trHeight w:val="23"/>
        </w:trPr>
        <w:tc>
          <w:tcPr>
            <w:tcW w:w="10036" w:type="dxa"/>
            <w:tcBorders>
              <w:top w:val="nil"/>
              <w:left w:val="nil"/>
              <w:bottom w:val="nil"/>
              <w:right w:val="nil"/>
            </w:tcBorders>
            <w:shd w:val="clear" w:color="auto" w:fill="FFFFFF" w:themeFill="background1"/>
          </w:tcPr>
          <w:p w14:paraId="659033AF" w14:textId="77777777" w:rsidR="00B650D2" w:rsidRDefault="00B650D2" w:rsidP="003160D7">
            <w:pPr>
              <w:rPr>
                <w:b/>
                <w:color w:val="FFFFFF" w:themeColor="background1"/>
                <w:sz w:val="28"/>
                <w:szCs w:val="28"/>
              </w:rPr>
            </w:pPr>
          </w:p>
        </w:tc>
      </w:tr>
    </w:tbl>
    <w:p w14:paraId="08164E21" w14:textId="77777777" w:rsidR="00B650D2" w:rsidRDefault="00B650D2"/>
    <w:p w14:paraId="5ABFFBC3" w14:textId="77777777" w:rsidR="00B650D2" w:rsidRDefault="00B650D2">
      <w:r>
        <w:br w:type="page"/>
      </w:r>
    </w:p>
    <w:tbl>
      <w:tblPr>
        <w:tblStyle w:val="TableGrid"/>
        <w:tblW w:w="10976" w:type="dxa"/>
        <w:tblInd w:w="7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976"/>
      </w:tblGrid>
      <w:tr w:rsidR="004E0CC1" w14:paraId="2F0ACAD8" w14:textId="77777777" w:rsidTr="003160D7">
        <w:trPr>
          <w:trHeight w:val="23"/>
        </w:trPr>
        <w:tc>
          <w:tcPr>
            <w:tcW w:w="10976" w:type="dxa"/>
            <w:tcBorders>
              <w:top w:val="nil"/>
              <w:left w:val="nil"/>
              <w:bottom w:val="nil"/>
              <w:right w:val="nil"/>
            </w:tcBorders>
            <w:shd w:val="clear" w:color="auto" w:fill="FFFFFF" w:themeFill="background1"/>
          </w:tcPr>
          <w:p w14:paraId="122A5563" w14:textId="77777777" w:rsidR="00B650D2" w:rsidRDefault="00B650D2" w:rsidP="003160D7">
            <w:pPr>
              <w:rPr>
                <w:b/>
                <w:color w:val="FFFFFF" w:themeColor="background1"/>
                <w:sz w:val="24"/>
                <w:szCs w:val="24"/>
              </w:rPr>
            </w:pPr>
          </w:p>
          <w:p w14:paraId="7D1A7FDE" w14:textId="77777777" w:rsidR="00B650D2" w:rsidRDefault="00B650D2" w:rsidP="003160D7">
            <w:pPr>
              <w:rPr>
                <w:b/>
                <w:color w:val="FFFFFF" w:themeColor="background1"/>
                <w:sz w:val="24"/>
                <w:szCs w:val="24"/>
              </w:rPr>
            </w:pPr>
          </w:p>
          <w:tbl>
            <w:tblPr>
              <w:tblStyle w:val="TableGrid"/>
              <w:tblpPr w:leftFromText="180" w:rightFromText="180" w:vertAnchor="text" w:horzAnchor="margin" w:tblpY="-171"/>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9542"/>
            </w:tblGrid>
            <w:tr w:rsidR="004E0CC1" w14:paraId="7C8469F3" w14:textId="77777777" w:rsidTr="003160D7">
              <w:trPr>
                <w:trHeight w:val="23"/>
              </w:trPr>
              <w:tc>
                <w:tcPr>
                  <w:tcW w:w="9410" w:type="dxa"/>
                  <w:tcBorders>
                    <w:top w:val="nil"/>
                    <w:left w:val="nil"/>
                    <w:bottom w:val="nil"/>
                    <w:right w:val="nil"/>
                  </w:tcBorders>
                  <w:shd w:val="clear" w:color="auto" w:fill="FFFFFF" w:themeFill="background1"/>
                </w:tcPr>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09"/>
                    <w:gridCol w:w="484"/>
                    <w:gridCol w:w="1363"/>
                    <w:gridCol w:w="502"/>
                    <w:gridCol w:w="2374"/>
                    <w:gridCol w:w="1774"/>
                  </w:tblGrid>
                  <w:tr w:rsidR="004E0CC1" w14:paraId="6220D953" w14:textId="77777777" w:rsidTr="00014E79">
                    <w:tc>
                      <w:tcPr>
                        <w:tcW w:w="9174" w:type="dxa"/>
                        <w:gridSpan w:val="6"/>
                        <w:shd w:val="clear" w:color="auto" w:fill="5B9BD5" w:themeFill="accent1"/>
                      </w:tcPr>
                      <w:p w14:paraId="7CA85DBB" w14:textId="77777777" w:rsidR="00B650D2" w:rsidRPr="005F20DB" w:rsidRDefault="00B650D2" w:rsidP="003160D7">
                        <w:pPr>
                          <w:rPr>
                            <w:b/>
                            <w:color w:val="FFFFFF" w:themeColor="background1"/>
                            <w:sz w:val="28"/>
                            <w:szCs w:val="28"/>
                          </w:rPr>
                        </w:pPr>
                        <w:r w:rsidRPr="00681F4B">
                          <w:rPr>
                            <w:b/>
                            <w:color w:val="FFFFFF" w:themeColor="background1"/>
                            <w:sz w:val="28"/>
                            <w:szCs w:val="28"/>
                          </w:rPr>
                          <w:t>TE10  Total carbon output of all buildings</w:t>
                        </w:r>
                      </w:p>
                    </w:tc>
                  </w:tr>
                  <w:tr w:rsidR="004E0CC1" w14:paraId="15EF0A94" w14:textId="77777777" w:rsidTr="00014E79">
                    <w:tc>
                      <w:tcPr>
                        <w:tcW w:w="2837" w:type="dxa"/>
                        <w:shd w:val="clear" w:color="auto" w:fill="FFFF00"/>
                        <w:vAlign w:val="center"/>
                      </w:tcPr>
                      <w:p w14:paraId="213E31E0" w14:textId="77777777" w:rsidR="00B650D2" w:rsidRDefault="00B650D2" w:rsidP="003160D7">
                        <w:pPr>
                          <w:jc w:val="center"/>
                        </w:pPr>
                        <w:r w:rsidRPr="00C63E5E">
                          <w:t>Service Plan Target</w:t>
                        </w:r>
                      </w:p>
                      <w:p w14:paraId="6A0C275A" w14:textId="77777777" w:rsidR="00B650D2" w:rsidRDefault="00B650D2" w:rsidP="003160D7">
                        <w:pPr>
                          <w:jc w:val="center"/>
                        </w:pPr>
                        <w:r>
                          <w:t>Apr-Dec 2023</w:t>
                        </w:r>
                      </w:p>
                    </w:tc>
                    <w:tc>
                      <w:tcPr>
                        <w:tcW w:w="1818" w:type="dxa"/>
                        <w:gridSpan w:val="2"/>
                        <w:shd w:val="clear" w:color="auto" w:fill="D9E2F3" w:themeFill="accent5" w:themeFillTint="33"/>
                        <w:vAlign w:val="center"/>
                      </w:tcPr>
                      <w:p w14:paraId="6F4EA4C0" w14:textId="77777777" w:rsidR="00B650D2" w:rsidRPr="00117961" w:rsidRDefault="00B650D2" w:rsidP="003160D7">
                        <w:pPr>
                          <w:jc w:val="center"/>
                          <w:rPr>
                            <w:b/>
                          </w:rPr>
                        </w:pPr>
                        <w:r>
                          <w:rPr>
                            <w:b/>
                          </w:rPr>
                          <w:t>43.9</w:t>
                        </w:r>
                      </w:p>
                    </w:tc>
                    <w:tc>
                      <w:tcPr>
                        <w:tcW w:w="2796" w:type="dxa"/>
                        <w:gridSpan w:val="2"/>
                        <w:shd w:val="clear" w:color="auto" w:fill="FFFF00"/>
                        <w:vAlign w:val="center"/>
                      </w:tcPr>
                      <w:p w14:paraId="371339A9" w14:textId="77777777" w:rsidR="00B650D2" w:rsidRDefault="00B650D2" w:rsidP="003160D7">
                        <w:pPr>
                          <w:jc w:val="center"/>
                        </w:pPr>
                        <w:r w:rsidRPr="00C63E5E">
                          <w:t>Progress to Date</w:t>
                        </w:r>
                      </w:p>
                    </w:tc>
                    <w:tc>
                      <w:tcPr>
                        <w:tcW w:w="1723" w:type="dxa"/>
                        <w:shd w:val="clear" w:color="auto" w:fill="00B050"/>
                        <w:vAlign w:val="center"/>
                      </w:tcPr>
                      <w:p w14:paraId="7797CF0D" w14:textId="77777777" w:rsidR="00B650D2" w:rsidRPr="008B1461" w:rsidRDefault="00B650D2" w:rsidP="003160D7">
                        <w:pPr>
                          <w:jc w:val="center"/>
                          <w:rPr>
                            <w:b/>
                            <w:color w:val="FFFF00"/>
                          </w:rPr>
                        </w:pPr>
                        <w:r>
                          <w:rPr>
                            <w:b/>
                            <w:color w:val="FFFF00"/>
                          </w:rPr>
                          <w:t>35.2</w:t>
                        </w:r>
                      </w:p>
                    </w:tc>
                  </w:tr>
                  <w:tr w:rsidR="004E0CC1" w14:paraId="500D129B" w14:textId="77777777" w:rsidTr="00F737A5">
                    <w:tc>
                      <w:tcPr>
                        <w:tcW w:w="9174" w:type="dxa"/>
                        <w:gridSpan w:val="6"/>
                      </w:tcPr>
                      <w:p w14:paraId="0E759620" w14:textId="77777777" w:rsidR="00B650D2" w:rsidRDefault="00B650D2" w:rsidP="003160D7">
                        <w:pPr>
                          <w:rPr>
                            <w:noProof/>
                            <w:lang w:eastAsia="en-GB"/>
                          </w:rPr>
                        </w:pPr>
                        <w:r>
                          <w:rPr>
                            <w:noProof/>
                            <w:lang w:eastAsia="en-GB"/>
                          </w:rPr>
                          <w:drawing>
                            <wp:inline distT="0" distB="0" distL="0" distR="0" wp14:anchorId="383590E0" wp14:editId="7A03C002">
                              <wp:extent cx="5772150" cy="2660400"/>
                              <wp:effectExtent l="0" t="0" r="0" b="6985"/>
                              <wp:docPr id="23" name="Chart 23">
                                <a:extLst xmlns:a="http://schemas.openxmlformats.org/drawingml/2006/main">
                                  <a:ext uri="{FF2B5EF4-FFF2-40B4-BE49-F238E27FC236}">
                                    <a16:creationId xmlns:a16="http://schemas.microsoft.com/office/drawing/2014/main" id="{00000000-0008-0000-06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4E0CC1" w14:paraId="4355D9D4" w14:textId="77777777" w:rsidTr="00014E79">
                    <w:trPr>
                      <w:trHeight w:val="567"/>
                    </w:trPr>
                    <w:tc>
                      <w:tcPr>
                        <w:tcW w:w="5092" w:type="dxa"/>
                        <w:gridSpan w:val="4"/>
                      </w:tcPr>
                      <w:p w14:paraId="208F9B01" w14:textId="77777777" w:rsidR="00B650D2" w:rsidRPr="00E56421" w:rsidRDefault="00B650D2" w:rsidP="003160D7">
                        <w:pPr>
                          <w:rPr>
                            <w:b/>
                          </w:rPr>
                        </w:pPr>
                        <w:r>
                          <w:rPr>
                            <w:b/>
                          </w:rPr>
                          <w:t xml:space="preserve">TE10 Total </w:t>
                        </w:r>
                        <w:r>
                          <w:rPr>
                            <w:b/>
                          </w:rPr>
                          <w:t>carbon output of all buildings</w:t>
                        </w:r>
                      </w:p>
                    </w:tc>
                    <w:tc>
                      <w:tcPr>
                        <w:tcW w:w="4082" w:type="dxa"/>
                        <w:gridSpan w:val="2"/>
                        <w:shd w:val="clear" w:color="auto" w:fill="00B050"/>
                      </w:tcPr>
                      <w:p w14:paraId="403A2EE9" w14:textId="77777777" w:rsidR="00B650D2" w:rsidRDefault="00B650D2" w:rsidP="003160D7"/>
                      <w:p w14:paraId="1326674E" w14:textId="77777777" w:rsidR="00B650D2" w:rsidRDefault="00B650D2" w:rsidP="003160D7"/>
                    </w:tc>
                  </w:tr>
                  <w:tr w:rsidR="004E0CC1" w14:paraId="2FF381C1" w14:textId="77777777" w:rsidTr="00014E79">
                    <w:tc>
                      <w:tcPr>
                        <w:tcW w:w="3270" w:type="dxa"/>
                        <w:gridSpan w:val="2"/>
                      </w:tcPr>
                      <w:p w14:paraId="4F926039" w14:textId="77777777" w:rsidR="00B650D2" w:rsidRDefault="00B650D2" w:rsidP="003160D7"/>
                      <w:p w14:paraId="3D824C1D" w14:textId="77777777" w:rsidR="00B650D2" w:rsidRPr="00417D19" w:rsidRDefault="00B650D2" w:rsidP="003160D7">
                        <w:pPr>
                          <w:rPr>
                            <w:b/>
                          </w:rPr>
                        </w:pPr>
                        <w:r w:rsidRPr="00417D19">
                          <w:rPr>
                            <w:b/>
                          </w:rPr>
                          <w:t>TE10</w:t>
                        </w:r>
                      </w:p>
                    </w:tc>
                    <w:tc>
                      <w:tcPr>
                        <w:tcW w:w="5904" w:type="dxa"/>
                        <w:gridSpan w:val="4"/>
                      </w:tcPr>
                      <w:p w14:paraId="4AAED378" w14:textId="77777777" w:rsidR="00B650D2" w:rsidRDefault="00B650D2" w:rsidP="00D90A35">
                        <w:r>
                          <w:t xml:space="preserve">Carbon output from all buildings (35.2) is slightly lower than Q3 2022/23 (36.3) and below the target of 43.9.  This measurement is based on tonnage of CO2# for the MFRS estate.    </w:t>
                        </w:r>
                      </w:p>
                    </w:tc>
                  </w:tr>
                </w:tbl>
                <w:p w14:paraId="2BC596D1" w14:textId="77777777" w:rsidR="00B650D2" w:rsidRDefault="00B650D2" w:rsidP="003160D7">
                  <w:pPr>
                    <w:rPr>
                      <w:b/>
                      <w:color w:val="FFFFFF" w:themeColor="background1"/>
                      <w:sz w:val="24"/>
                      <w:szCs w:val="24"/>
                    </w:rPr>
                  </w:pPr>
                </w:p>
                <w:p w14:paraId="56379143" w14:textId="77777777" w:rsidR="00B650D2" w:rsidRDefault="00B650D2" w:rsidP="003160D7">
                  <w:pPr>
                    <w:rPr>
                      <w:b/>
                      <w:color w:val="FFFFFF" w:themeColor="background1"/>
                      <w:sz w:val="24"/>
                      <w:szCs w:val="24"/>
                    </w:rPr>
                  </w:pPr>
                </w:p>
                <w:p w14:paraId="2CCCA02B" w14:textId="77777777" w:rsidR="00B650D2" w:rsidRDefault="00B650D2" w:rsidP="003160D7">
                  <w:pPr>
                    <w:rPr>
                      <w:b/>
                      <w:color w:val="FFFFFF" w:themeColor="background1"/>
                      <w:sz w:val="24"/>
                      <w:szCs w:val="24"/>
                    </w:rPr>
                  </w:pPr>
                </w:p>
                <w:p w14:paraId="41294985" w14:textId="77777777" w:rsidR="00B650D2" w:rsidRDefault="00B650D2" w:rsidP="003160D7">
                  <w:pPr>
                    <w:rPr>
                      <w:b/>
                      <w:color w:val="FFFFFF" w:themeColor="background1"/>
                      <w:sz w:val="24"/>
                      <w:szCs w:val="24"/>
                    </w:rPr>
                  </w:pPr>
                </w:p>
                <w:p w14:paraId="67F63A1F" w14:textId="77777777" w:rsidR="00B650D2" w:rsidRDefault="00B650D2" w:rsidP="003160D7">
                  <w:pPr>
                    <w:rPr>
                      <w:b/>
                      <w:color w:val="FFFFFF" w:themeColor="background1"/>
                      <w:sz w:val="24"/>
                      <w:szCs w:val="24"/>
                    </w:rPr>
                  </w:pPr>
                </w:p>
                <w:p w14:paraId="6C20AA0D" w14:textId="77777777" w:rsidR="00B650D2" w:rsidRDefault="00B650D2" w:rsidP="003160D7">
                  <w:pPr>
                    <w:rPr>
                      <w:b/>
                      <w:color w:val="FFFFFF" w:themeColor="background1"/>
                      <w:sz w:val="24"/>
                      <w:szCs w:val="24"/>
                    </w:rPr>
                  </w:pPr>
                </w:p>
                <w:p w14:paraId="3C28990D" w14:textId="77777777" w:rsidR="00B650D2" w:rsidRPr="005C3B4F" w:rsidRDefault="00B650D2" w:rsidP="003160D7">
                  <w:pPr>
                    <w:rPr>
                      <w:b/>
                      <w:color w:val="FFFFFF" w:themeColor="background1"/>
                      <w:sz w:val="24"/>
                      <w:szCs w:val="24"/>
                    </w:rPr>
                  </w:pPr>
                </w:p>
              </w:tc>
            </w:tr>
          </w:tbl>
          <w:p w14:paraId="7EE1947F" w14:textId="77777777" w:rsidR="00B650D2" w:rsidRPr="005C3B4F" w:rsidRDefault="00B650D2" w:rsidP="003160D7">
            <w:pPr>
              <w:rPr>
                <w:b/>
                <w:color w:val="FFFFFF" w:themeColor="background1"/>
                <w:sz w:val="24"/>
                <w:szCs w:val="24"/>
              </w:rPr>
            </w:pPr>
          </w:p>
        </w:tc>
      </w:tr>
    </w:tbl>
    <w:p w14:paraId="4C1479F0" w14:textId="77777777" w:rsidR="00B650D2" w:rsidRDefault="00B650D2"/>
    <w:sectPr w:rsidR="00B1150A" w:rsidSect="003160D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E6F3B" w14:textId="77777777" w:rsidR="00B650D2" w:rsidRDefault="00B650D2">
      <w:pPr>
        <w:spacing w:after="0" w:line="240" w:lineRule="auto"/>
      </w:pPr>
      <w:r>
        <w:separator/>
      </w:r>
    </w:p>
  </w:endnote>
  <w:endnote w:type="continuationSeparator" w:id="0">
    <w:p w14:paraId="48DFFA0C" w14:textId="77777777" w:rsidR="00B650D2" w:rsidRDefault="00B650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9582138"/>
      <w:docPartObj>
        <w:docPartGallery w:val="Page Numbers (Bottom of Page)"/>
        <w:docPartUnique/>
      </w:docPartObj>
    </w:sdtPr>
    <w:sdtEndPr>
      <w:rPr>
        <w:noProof/>
      </w:rPr>
    </w:sdtEndPr>
    <w:sdtContent>
      <w:p w14:paraId="3829EF29" w14:textId="77777777" w:rsidR="00B650D2" w:rsidRDefault="00B650D2">
        <w:pPr>
          <w:pStyle w:val="Footer"/>
          <w:jc w:val="center"/>
        </w:pPr>
        <w:r>
          <w:fldChar w:fldCharType="begin"/>
        </w:r>
        <w:r>
          <w:instrText xml:space="preserve"> PAGE   \* MERGEFORMAT </w:instrText>
        </w:r>
        <w:r>
          <w:fldChar w:fldCharType="separate"/>
        </w:r>
        <w:r>
          <w:rPr>
            <w:noProof/>
          </w:rPr>
          <w:t>8</w:t>
        </w:r>
        <w:r>
          <w:rPr>
            <w:noProof/>
          </w:rPr>
          <w:fldChar w:fldCharType="end"/>
        </w:r>
      </w:p>
    </w:sdtContent>
  </w:sdt>
  <w:p w14:paraId="3BC8D9AD" w14:textId="77777777" w:rsidR="00B650D2" w:rsidRDefault="00B650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E9F65F" w14:textId="77777777" w:rsidR="00B650D2" w:rsidRDefault="00B650D2">
      <w:pPr>
        <w:spacing w:after="0" w:line="240" w:lineRule="auto"/>
      </w:pPr>
      <w:r>
        <w:separator/>
      </w:r>
    </w:p>
  </w:footnote>
  <w:footnote w:type="continuationSeparator" w:id="0">
    <w:p w14:paraId="57F1A877" w14:textId="77777777" w:rsidR="00B650D2" w:rsidRDefault="00B650D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0CC1"/>
    <w:rsid w:val="004E0CC1"/>
    <w:rsid w:val="00B650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FFC73"/>
  <w15:docId w15:val="{A4E00871-4FF8-49B4-8CD5-46EA9C538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57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80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038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3831"/>
  </w:style>
  <w:style w:type="paragraph" w:styleId="Footer">
    <w:name w:val="footer"/>
    <w:basedOn w:val="Normal"/>
    <w:link w:val="FooterChar"/>
    <w:uiPriority w:val="99"/>
    <w:unhideWhenUsed/>
    <w:rsid w:val="004038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3831"/>
  </w:style>
  <w:style w:type="paragraph" w:styleId="NormalWeb">
    <w:name w:val="Normal (Web)"/>
    <w:basedOn w:val="Normal"/>
    <w:uiPriority w:val="99"/>
    <w:semiHidden/>
    <w:unhideWhenUsed/>
    <w:rsid w:val="004C5A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F51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1173"/>
    <w:rPr>
      <w:rFonts w:ascii="Tahoma" w:hAnsi="Tahoma" w:cs="Tahoma"/>
      <w:sz w:val="16"/>
      <w:szCs w:val="16"/>
    </w:rPr>
  </w:style>
  <w:style w:type="character" w:styleId="CommentReference">
    <w:name w:val="annotation reference"/>
    <w:basedOn w:val="DefaultParagraphFont"/>
    <w:uiPriority w:val="99"/>
    <w:semiHidden/>
    <w:unhideWhenUsed/>
    <w:rsid w:val="00F51173"/>
    <w:rPr>
      <w:sz w:val="16"/>
      <w:szCs w:val="16"/>
    </w:rPr>
  </w:style>
  <w:style w:type="paragraph" w:styleId="CommentText">
    <w:name w:val="annotation text"/>
    <w:basedOn w:val="Normal"/>
    <w:link w:val="CommentTextChar"/>
    <w:uiPriority w:val="99"/>
    <w:unhideWhenUsed/>
    <w:rsid w:val="00F51173"/>
    <w:pPr>
      <w:spacing w:line="240" w:lineRule="auto"/>
    </w:pPr>
    <w:rPr>
      <w:sz w:val="20"/>
      <w:szCs w:val="20"/>
    </w:rPr>
  </w:style>
  <w:style w:type="character" w:customStyle="1" w:styleId="CommentTextChar">
    <w:name w:val="Comment Text Char"/>
    <w:basedOn w:val="DefaultParagraphFont"/>
    <w:link w:val="CommentText"/>
    <w:uiPriority w:val="99"/>
    <w:rsid w:val="00F51173"/>
    <w:rPr>
      <w:sz w:val="20"/>
      <w:szCs w:val="20"/>
    </w:rPr>
  </w:style>
  <w:style w:type="paragraph" w:styleId="CommentSubject">
    <w:name w:val="annotation subject"/>
    <w:basedOn w:val="CommentText"/>
    <w:next w:val="CommentText"/>
    <w:link w:val="CommentSubjectChar"/>
    <w:uiPriority w:val="99"/>
    <w:semiHidden/>
    <w:unhideWhenUsed/>
    <w:rsid w:val="00F51173"/>
    <w:rPr>
      <w:b/>
      <w:bCs/>
    </w:rPr>
  </w:style>
  <w:style w:type="character" w:customStyle="1" w:styleId="CommentSubjectChar">
    <w:name w:val="Comment Subject Char"/>
    <w:basedOn w:val="CommentTextChar"/>
    <w:link w:val="CommentSubject"/>
    <w:uiPriority w:val="99"/>
    <w:semiHidden/>
    <w:rsid w:val="00F51173"/>
    <w:rPr>
      <w:b/>
      <w:bCs/>
      <w:sz w:val="20"/>
      <w:szCs w:val="20"/>
    </w:rPr>
  </w:style>
  <w:style w:type="paragraph" w:styleId="Revision">
    <w:name w:val="Revision"/>
    <w:hidden/>
    <w:uiPriority w:val="99"/>
    <w:semiHidden/>
    <w:rsid w:val="008A1B23"/>
    <w:pPr>
      <w:spacing w:after="0" w:line="240" w:lineRule="auto"/>
    </w:pPr>
  </w:style>
  <w:style w:type="paragraph" w:customStyle="1" w:styleId="pf0">
    <w:name w:val="pf0"/>
    <w:basedOn w:val="Normal"/>
    <w:rsid w:val="008A1B2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8A1B2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7.xml"/><Relationship Id="rId26" Type="http://schemas.openxmlformats.org/officeDocument/2006/relationships/chart" Target="charts/chart15.xml"/><Relationship Id="rId3" Type="http://schemas.openxmlformats.org/officeDocument/2006/relationships/settings" Target="settings.xml"/><Relationship Id="rId21" Type="http://schemas.openxmlformats.org/officeDocument/2006/relationships/chart" Target="charts/chart10.xml"/><Relationship Id="rId7" Type="http://schemas.openxmlformats.org/officeDocument/2006/relationships/image" Target="media/image1.jpeg"/><Relationship Id="rId12" Type="http://schemas.openxmlformats.org/officeDocument/2006/relationships/chart" Target="charts/chart4.xml"/><Relationship Id="rId17" Type="http://schemas.openxmlformats.org/officeDocument/2006/relationships/footer" Target="footer1.xml"/><Relationship Id="rId25" Type="http://schemas.openxmlformats.org/officeDocument/2006/relationships/chart" Target="charts/chart14.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chart" Target="charts/chart9.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chart" Target="charts/chart13.xml"/><Relationship Id="rId5"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2.xml"/><Relationship Id="rId28" Type="http://schemas.openxmlformats.org/officeDocument/2006/relationships/fontTable" Target="fontTable.xml"/><Relationship Id="rId10" Type="http://schemas.openxmlformats.org/officeDocument/2006/relationships/chart" Target="charts/chart3.xml"/><Relationship Id="rId19" Type="http://schemas.openxmlformats.org/officeDocument/2006/relationships/chart" Target="charts/chart8.xml"/><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image" Target="media/image3.png"/><Relationship Id="rId22" Type="http://schemas.openxmlformats.org/officeDocument/2006/relationships/chart" Target="charts/chart11.xml"/><Relationship Id="rId27" Type="http://schemas.openxmlformats.org/officeDocument/2006/relationships/chart" Target="charts/chart16.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037687874526628E-2"/>
          <c:y val="2.7251698176747899E-2"/>
          <c:w val="0.93295665692096541"/>
          <c:h val="0.82156593637350628"/>
        </c:manualLayout>
      </c:layout>
      <c:barChart>
        <c:barDir val="col"/>
        <c:grouping val="clustered"/>
        <c:varyColors val="0"/>
        <c:ser>
          <c:idx val="3"/>
          <c:order val="1"/>
          <c:tx>
            <c:strRef>
              <c:f>'Further Analysis Sheet'!$C$7</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Sheet'!$D$7:$O$7</c:f>
              <c:numCache>
                <c:formatCode>General</c:formatCode>
                <c:ptCount val="12"/>
                <c:pt idx="0">
                  <c:v>1849</c:v>
                </c:pt>
                <c:pt idx="1">
                  <c:v>1643</c:v>
                </c:pt>
                <c:pt idx="2">
                  <c:v>2279</c:v>
                </c:pt>
                <c:pt idx="3">
                  <c:v>1792</c:v>
                </c:pt>
                <c:pt idx="4">
                  <c:v>1970</c:v>
                </c:pt>
                <c:pt idx="5">
                  <c:v>1637</c:v>
                </c:pt>
                <c:pt idx="6">
                  <c:v>1654</c:v>
                </c:pt>
                <c:pt idx="7">
                  <c:v>1631</c:v>
                </c:pt>
                <c:pt idx="8">
                  <c:v>1536</c:v>
                </c:pt>
                <c:pt idx="9">
                  <c:v>0</c:v>
                </c:pt>
                <c:pt idx="10">
                  <c:v>0</c:v>
                </c:pt>
                <c:pt idx="11">
                  <c:v>0</c:v>
                </c:pt>
              </c:numCache>
            </c:numRef>
          </c:val>
          <c:extLst>
            <c:ext xmlns:c16="http://schemas.microsoft.com/office/drawing/2014/chart" uri="{C3380CC4-5D6E-409C-BE32-E72D297353CC}">
              <c16:uniqueId val="{00000000-15D7-4165-A782-9C5E9AF4DFD9}"/>
            </c:ext>
          </c:extLst>
        </c:ser>
        <c:dLbls>
          <c:showLegendKey val="0"/>
          <c:showVal val="0"/>
          <c:showCatName val="0"/>
          <c:showSerName val="0"/>
          <c:showPercent val="0"/>
          <c:showBubbleSize val="0"/>
        </c:dLbls>
        <c:gapWidth val="60"/>
        <c:axId val="248578536"/>
        <c:axId val="248578928"/>
      </c:barChart>
      <c:lineChart>
        <c:grouping val="standard"/>
        <c:varyColors val="0"/>
        <c:ser>
          <c:idx val="2"/>
          <c:order val="0"/>
          <c:tx>
            <c:strRef>
              <c:f>'Further Analysis Sheet'!$C$6</c:f>
              <c:strCache>
                <c:ptCount val="1"/>
                <c:pt idx="0">
                  <c:v>Previous Year</c:v>
                </c:pt>
              </c:strCache>
            </c:strRef>
          </c:tx>
          <c:spPr>
            <a:ln>
              <a:solidFill>
                <a:srgbClr val="0070C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Sheet'!$D$6:$O$6</c:f>
              <c:numCache>
                <c:formatCode>General</c:formatCode>
                <c:ptCount val="12"/>
                <c:pt idx="0">
                  <c:v>2368</c:v>
                </c:pt>
                <c:pt idx="1">
                  <c:v>2066</c:v>
                </c:pt>
                <c:pt idx="2">
                  <c:v>2035</c:v>
                </c:pt>
                <c:pt idx="3">
                  <c:v>3320</c:v>
                </c:pt>
                <c:pt idx="4">
                  <c:v>3504</c:v>
                </c:pt>
                <c:pt idx="5">
                  <c:v>1880</c:v>
                </c:pt>
                <c:pt idx="6">
                  <c:v>1719</c:v>
                </c:pt>
                <c:pt idx="7">
                  <c:v>1694</c:v>
                </c:pt>
                <c:pt idx="8">
                  <c:v>1704</c:v>
                </c:pt>
                <c:pt idx="9">
                  <c:v>1420</c:v>
                </c:pt>
                <c:pt idx="10">
                  <c:v>1632</c:v>
                </c:pt>
                <c:pt idx="11">
                  <c:v>1457</c:v>
                </c:pt>
              </c:numCache>
            </c:numRef>
          </c:val>
          <c:smooth val="0"/>
          <c:extLst>
            <c:ext xmlns:c16="http://schemas.microsoft.com/office/drawing/2014/chart" uri="{C3380CC4-5D6E-409C-BE32-E72D297353CC}">
              <c16:uniqueId val="{00000001-15D7-4165-A782-9C5E9AF4DFD9}"/>
            </c:ext>
          </c:extLst>
        </c:ser>
        <c:dLbls>
          <c:showLegendKey val="0"/>
          <c:showVal val="0"/>
          <c:showCatName val="0"/>
          <c:showSerName val="0"/>
          <c:showPercent val="0"/>
          <c:showBubbleSize val="0"/>
        </c:dLbls>
        <c:marker val="1"/>
        <c:smooth val="0"/>
        <c:axId val="248578536"/>
        <c:axId val="248578928"/>
      </c:lineChart>
      <c:catAx>
        <c:axId val="248578536"/>
        <c:scaling>
          <c:orientation val="minMax"/>
        </c:scaling>
        <c:delete val="0"/>
        <c:axPos val="b"/>
        <c:numFmt formatCode="General" sourceLinked="0"/>
        <c:majorTickMark val="out"/>
        <c:minorTickMark val="none"/>
        <c:tickLblPos val="nextTo"/>
        <c:txPr>
          <a:bodyPr/>
          <a:lstStyle/>
          <a:p>
            <a:pPr>
              <a:defRPr sz="800"/>
            </a:pPr>
            <a:endParaRPr lang="en-US"/>
          </a:p>
        </c:txPr>
        <c:crossAx val="248578928"/>
        <c:crosses val="autoZero"/>
        <c:auto val="1"/>
        <c:lblAlgn val="ctr"/>
        <c:lblOffset val="100"/>
        <c:noMultiLvlLbl val="0"/>
      </c:catAx>
      <c:valAx>
        <c:axId val="2485789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85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737392131273593E-2"/>
          <c:y val="2.723379168716375E-2"/>
          <c:w val="0.92862437234648831"/>
          <c:h val="0.82274629686023726"/>
        </c:manualLayout>
      </c:layout>
      <c:lineChart>
        <c:grouping val="standard"/>
        <c:varyColors val="0"/>
        <c:ser>
          <c:idx val="0"/>
          <c:order val="0"/>
          <c:tx>
            <c:strRef>
              <c:f>'Further Analysis Sheet'!$T$24</c:f>
              <c:strCache>
                <c:ptCount val="1"/>
                <c:pt idx="0">
                  <c:v>Target</c:v>
                </c:pt>
              </c:strCache>
            </c:strRef>
          </c:tx>
          <c:spPr>
            <a:ln>
              <a:solidFill>
                <a:srgbClr val="00B05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Sheet'!$U$24:$AF$24</c:f>
              <c:numCache>
                <c:formatCode>General</c:formatCode>
                <c:ptCount val="12"/>
                <c:pt idx="0">
                  <c:v>622</c:v>
                </c:pt>
                <c:pt idx="1">
                  <c:v>1183</c:v>
                </c:pt>
                <c:pt idx="2">
                  <c:v>1751</c:v>
                </c:pt>
                <c:pt idx="3">
                  <c:v>2460</c:v>
                </c:pt>
                <c:pt idx="4">
                  <c:v>2993</c:v>
                </c:pt>
                <c:pt idx="5">
                  <c:v>3394</c:v>
                </c:pt>
                <c:pt idx="6">
                  <c:v>3739</c:v>
                </c:pt>
                <c:pt idx="7">
                  <c:v>4152</c:v>
                </c:pt>
                <c:pt idx="8">
                  <c:v>4353</c:v>
                </c:pt>
                <c:pt idx="9">
                  <c:v>4577</c:v>
                </c:pt>
                <c:pt idx="10">
                  <c:v>4804</c:v>
                </c:pt>
                <c:pt idx="11">
                  <c:v>5186</c:v>
                </c:pt>
              </c:numCache>
            </c:numRef>
          </c:val>
          <c:smooth val="0"/>
          <c:extLst>
            <c:ext xmlns:c16="http://schemas.microsoft.com/office/drawing/2014/chart" uri="{C3380CC4-5D6E-409C-BE32-E72D297353CC}">
              <c16:uniqueId val="{00000000-C4F0-40A6-B38D-DCEE47A17D06}"/>
            </c:ext>
          </c:extLst>
        </c:ser>
        <c:ser>
          <c:idx val="1"/>
          <c:order val="1"/>
          <c:tx>
            <c:strRef>
              <c:f>'Further Analysis Sheet'!$T$25</c:f>
              <c:strCache>
                <c:ptCount val="1"/>
                <c:pt idx="0">
                  <c:v>Target +10%</c:v>
                </c:pt>
              </c:strCache>
            </c:strRef>
          </c:tx>
          <c:spPr>
            <a:ln>
              <a:solidFill>
                <a:srgbClr val="C0000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Sheet'!$U$25:$AF$25</c:f>
              <c:numCache>
                <c:formatCode>General</c:formatCode>
                <c:ptCount val="12"/>
                <c:pt idx="0">
                  <c:v>684.2</c:v>
                </c:pt>
                <c:pt idx="1">
                  <c:v>1301.3000000000002</c:v>
                </c:pt>
                <c:pt idx="2">
                  <c:v>1926.1000000000004</c:v>
                </c:pt>
                <c:pt idx="3">
                  <c:v>2706.0000000000005</c:v>
                </c:pt>
                <c:pt idx="4">
                  <c:v>3292.3000000000006</c:v>
                </c:pt>
                <c:pt idx="5">
                  <c:v>3733.4000000000005</c:v>
                </c:pt>
                <c:pt idx="6">
                  <c:v>4112.9000000000005</c:v>
                </c:pt>
                <c:pt idx="7">
                  <c:v>4567.2000000000007</c:v>
                </c:pt>
                <c:pt idx="8">
                  <c:v>4788.3000000000011</c:v>
                </c:pt>
                <c:pt idx="9">
                  <c:v>5034.7000000000007</c:v>
                </c:pt>
                <c:pt idx="10">
                  <c:v>5284.4000000000005</c:v>
                </c:pt>
                <c:pt idx="11">
                  <c:v>5704.6</c:v>
                </c:pt>
              </c:numCache>
            </c:numRef>
          </c:val>
          <c:smooth val="0"/>
          <c:extLst>
            <c:ext xmlns:c16="http://schemas.microsoft.com/office/drawing/2014/chart" uri="{C3380CC4-5D6E-409C-BE32-E72D297353CC}">
              <c16:uniqueId val="{00000001-C4F0-40A6-B38D-DCEE47A17D06}"/>
            </c:ext>
          </c:extLst>
        </c:ser>
        <c:ser>
          <c:idx val="2"/>
          <c:order val="2"/>
          <c:tx>
            <c:strRef>
              <c:f>'Further Analysis Sheet'!$T$26</c:f>
              <c:strCache>
                <c:ptCount val="1"/>
                <c:pt idx="0">
                  <c:v>Target -10%</c:v>
                </c:pt>
              </c:strCache>
            </c:strRef>
          </c:tx>
          <c:spPr>
            <a:ln>
              <a:solidFill>
                <a:srgbClr val="7030A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Sheet'!$U$26:$AF$26</c:f>
              <c:numCache>
                <c:formatCode>General</c:formatCode>
                <c:ptCount val="12"/>
                <c:pt idx="0">
                  <c:v>559.80000000000007</c:v>
                </c:pt>
                <c:pt idx="1">
                  <c:v>1064.7</c:v>
                </c:pt>
                <c:pt idx="2">
                  <c:v>1575.9</c:v>
                </c:pt>
                <c:pt idx="3">
                  <c:v>2214</c:v>
                </c:pt>
                <c:pt idx="4">
                  <c:v>2693.7</c:v>
                </c:pt>
                <c:pt idx="5">
                  <c:v>3054.6</c:v>
                </c:pt>
                <c:pt idx="6">
                  <c:v>3365.1</c:v>
                </c:pt>
                <c:pt idx="7">
                  <c:v>3736.7999999999997</c:v>
                </c:pt>
                <c:pt idx="8">
                  <c:v>3917.7</c:v>
                </c:pt>
                <c:pt idx="9">
                  <c:v>4119.3</c:v>
                </c:pt>
                <c:pt idx="10">
                  <c:v>4323.6000000000004</c:v>
                </c:pt>
                <c:pt idx="11">
                  <c:v>4667.4000000000005</c:v>
                </c:pt>
              </c:numCache>
            </c:numRef>
          </c:val>
          <c:smooth val="0"/>
          <c:extLst>
            <c:ext xmlns:c16="http://schemas.microsoft.com/office/drawing/2014/chart" uri="{C3380CC4-5D6E-409C-BE32-E72D297353CC}">
              <c16:uniqueId val="{00000002-C4F0-40A6-B38D-DCEE47A17D06}"/>
            </c:ext>
          </c:extLst>
        </c:ser>
        <c:ser>
          <c:idx val="3"/>
          <c:order val="3"/>
          <c:tx>
            <c:strRef>
              <c:f>'Further Analysis Sheet'!$T$27</c:f>
              <c:strCache>
                <c:ptCount val="1"/>
                <c:pt idx="0">
                  <c:v>Performance</c:v>
                </c:pt>
              </c:strCache>
            </c:strRef>
          </c:tx>
          <c:spPr>
            <a:ln>
              <a:solidFill>
                <a:schemeClr val="tx1"/>
              </a:solidFill>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Sheet'!$U$27:$AF$27</c:f>
              <c:numCache>
                <c:formatCode>General</c:formatCode>
                <c:ptCount val="12"/>
                <c:pt idx="0">
                  <c:v>478</c:v>
                </c:pt>
                <c:pt idx="1">
                  <c:v>1005</c:v>
                </c:pt>
                <c:pt idx="2">
                  <c:v>1601</c:v>
                </c:pt>
                <c:pt idx="3">
                  <c:v>1888</c:v>
                </c:pt>
                <c:pt idx="4">
                  <c:v>2201</c:v>
                </c:pt>
                <c:pt idx="5">
                  <c:v>2509</c:v>
                </c:pt>
                <c:pt idx="6">
                  <c:v>2798</c:v>
                </c:pt>
                <c:pt idx="7">
                  <c:v>3045</c:v>
                </c:pt>
                <c:pt idx="8">
                  <c:v>3165</c:v>
                </c:pt>
                <c:pt idx="9">
                  <c:v>3165</c:v>
                </c:pt>
                <c:pt idx="10">
                  <c:v>3165</c:v>
                </c:pt>
                <c:pt idx="11">
                  <c:v>3165</c:v>
                </c:pt>
              </c:numCache>
            </c:numRef>
          </c:val>
          <c:smooth val="0"/>
          <c:extLst>
            <c:ext xmlns:c16="http://schemas.microsoft.com/office/drawing/2014/chart" uri="{C3380CC4-5D6E-409C-BE32-E72D297353CC}">
              <c16:uniqueId val="{00000003-C4F0-40A6-B38D-DCEE47A17D06}"/>
            </c:ext>
          </c:extLst>
        </c:ser>
        <c:dLbls>
          <c:showLegendKey val="0"/>
          <c:showVal val="0"/>
          <c:showCatName val="0"/>
          <c:showSerName val="0"/>
          <c:showPercent val="0"/>
          <c:showBubbleSize val="0"/>
        </c:dLbls>
        <c:smooth val="0"/>
        <c:axId val="223099840"/>
        <c:axId val="223101408"/>
      </c:lineChart>
      <c:catAx>
        <c:axId val="223099840"/>
        <c:scaling>
          <c:orientation val="minMax"/>
        </c:scaling>
        <c:delete val="0"/>
        <c:axPos val="b"/>
        <c:numFmt formatCode="General" sourceLinked="0"/>
        <c:majorTickMark val="out"/>
        <c:minorTickMark val="none"/>
        <c:tickLblPos val="nextTo"/>
        <c:txPr>
          <a:bodyPr/>
          <a:lstStyle/>
          <a:p>
            <a:pPr>
              <a:defRPr sz="800"/>
            </a:pPr>
            <a:endParaRPr lang="en-US"/>
          </a:p>
        </c:txPr>
        <c:crossAx val="223101408"/>
        <c:crosses val="autoZero"/>
        <c:auto val="1"/>
        <c:lblAlgn val="ctr"/>
        <c:lblOffset val="100"/>
        <c:noMultiLvlLbl val="0"/>
      </c:catAx>
      <c:valAx>
        <c:axId val="22310140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099840"/>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131653341020234E-2"/>
          <c:y val="2.723379168716375E-2"/>
          <c:w val="0.94171610051633736"/>
          <c:h val="0.81261058664605246"/>
        </c:manualLayout>
      </c:layout>
      <c:barChart>
        <c:barDir val="col"/>
        <c:grouping val="clustered"/>
        <c:varyColors val="0"/>
        <c:ser>
          <c:idx val="3"/>
          <c:order val="1"/>
          <c:tx>
            <c:strRef>
              <c:f>'Further Analysis Sheet'!$C$32</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Sheet'!$D$32:$O$32</c:f>
              <c:numCache>
                <c:formatCode>General</c:formatCode>
                <c:ptCount val="12"/>
                <c:pt idx="0">
                  <c:v>438</c:v>
                </c:pt>
                <c:pt idx="1">
                  <c:v>422</c:v>
                </c:pt>
                <c:pt idx="2">
                  <c:v>447</c:v>
                </c:pt>
                <c:pt idx="3">
                  <c:v>448</c:v>
                </c:pt>
                <c:pt idx="4">
                  <c:v>451</c:v>
                </c:pt>
                <c:pt idx="5">
                  <c:v>405</c:v>
                </c:pt>
                <c:pt idx="6">
                  <c:v>438</c:v>
                </c:pt>
                <c:pt idx="7">
                  <c:v>431</c:v>
                </c:pt>
                <c:pt idx="8">
                  <c:v>488</c:v>
                </c:pt>
                <c:pt idx="9">
                  <c:v>0</c:v>
                </c:pt>
                <c:pt idx="10">
                  <c:v>0</c:v>
                </c:pt>
                <c:pt idx="11">
                  <c:v>0</c:v>
                </c:pt>
              </c:numCache>
            </c:numRef>
          </c:val>
          <c:extLst>
            <c:ext xmlns:c16="http://schemas.microsoft.com/office/drawing/2014/chart" uri="{C3380CC4-5D6E-409C-BE32-E72D297353CC}">
              <c16:uniqueId val="{00000000-098A-4295-BDB7-B2303E2F7C20}"/>
            </c:ext>
          </c:extLst>
        </c:ser>
        <c:dLbls>
          <c:showLegendKey val="0"/>
          <c:showVal val="0"/>
          <c:showCatName val="0"/>
          <c:showSerName val="0"/>
          <c:showPercent val="0"/>
          <c:showBubbleSize val="0"/>
        </c:dLbls>
        <c:gapWidth val="60"/>
        <c:axId val="223102192"/>
        <c:axId val="223102584"/>
      </c:barChart>
      <c:lineChart>
        <c:grouping val="standard"/>
        <c:varyColors val="0"/>
        <c:ser>
          <c:idx val="2"/>
          <c:order val="0"/>
          <c:tx>
            <c:strRef>
              <c:f>'Further Analysis Sheet'!$C$31</c:f>
              <c:strCache>
                <c:ptCount val="1"/>
                <c:pt idx="0">
                  <c:v>Previous Year</c:v>
                </c:pt>
              </c:strCache>
            </c:strRef>
          </c:tx>
          <c:spPr>
            <a:ln>
              <a:solidFill>
                <a:srgbClr val="0070C0"/>
              </a:solidFill>
            </a:ln>
          </c:spPr>
          <c:marker>
            <c:symbol val="none"/>
          </c:marker>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Sheet'!$D$31:$O$31</c:f>
              <c:numCache>
                <c:formatCode>General</c:formatCode>
                <c:ptCount val="12"/>
                <c:pt idx="0">
                  <c:v>404</c:v>
                </c:pt>
                <c:pt idx="1">
                  <c:v>424</c:v>
                </c:pt>
                <c:pt idx="2">
                  <c:v>415</c:v>
                </c:pt>
                <c:pt idx="3">
                  <c:v>502</c:v>
                </c:pt>
                <c:pt idx="4">
                  <c:v>456</c:v>
                </c:pt>
                <c:pt idx="5">
                  <c:v>457</c:v>
                </c:pt>
                <c:pt idx="6">
                  <c:v>429</c:v>
                </c:pt>
                <c:pt idx="7">
                  <c:v>391</c:v>
                </c:pt>
                <c:pt idx="8">
                  <c:v>660</c:v>
                </c:pt>
                <c:pt idx="9">
                  <c:v>388</c:v>
                </c:pt>
                <c:pt idx="10">
                  <c:v>403</c:v>
                </c:pt>
                <c:pt idx="11">
                  <c:v>375</c:v>
                </c:pt>
              </c:numCache>
            </c:numRef>
          </c:val>
          <c:smooth val="0"/>
          <c:extLst>
            <c:ext xmlns:c16="http://schemas.microsoft.com/office/drawing/2014/chart" uri="{C3380CC4-5D6E-409C-BE32-E72D297353CC}">
              <c16:uniqueId val="{00000001-098A-4295-BDB7-B2303E2F7C20}"/>
            </c:ext>
          </c:extLst>
        </c:ser>
        <c:dLbls>
          <c:showLegendKey val="0"/>
          <c:showVal val="0"/>
          <c:showCatName val="0"/>
          <c:showSerName val="0"/>
          <c:showPercent val="0"/>
          <c:showBubbleSize val="0"/>
        </c:dLbls>
        <c:marker val="1"/>
        <c:smooth val="0"/>
        <c:axId val="223102192"/>
        <c:axId val="223102584"/>
      </c:lineChart>
      <c:catAx>
        <c:axId val="223102192"/>
        <c:scaling>
          <c:orientation val="minMax"/>
        </c:scaling>
        <c:delete val="0"/>
        <c:axPos val="b"/>
        <c:numFmt formatCode="General" sourceLinked="0"/>
        <c:majorTickMark val="out"/>
        <c:minorTickMark val="none"/>
        <c:tickLblPos val="nextTo"/>
        <c:txPr>
          <a:bodyPr/>
          <a:lstStyle/>
          <a:p>
            <a:pPr>
              <a:defRPr sz="800"/>
            </a:pPr>
            <a:endParaRPr lang="en-US"/>
          </a:p>
        </c:txPr>
        <c:crossAx val="223102584"/>
        <c:crosses val="autoZero"/>
        <c:auto val="1"/>
        <c:lblAlgn val="ctr"/>
        <c:lblOffset val="100"/>
        <c:noMultiLvlLbl val="0"/>
      </c:catAx>
      <c:valAx>
        <c:axId val="22310258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102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3.7280095574972472E-2"/>
          <c:w val="0.93985115043113765"/>
          <c:h val="0.81282961262464182"/>
        </c:manualLayout>
      </c:layout>
      <c:lineChart>
        <c:grouping val="standard"/>
        <c:varyColors val="0"/>
        <c:ser>
          <c:idx val="2"/>
          <c:order val="0"/>
          <c:tx>
            <c:strRef>
              <c:f>'Further Analysis Sheet'!$T$31</c:f>
              <c:strCache>
                <c:ptCount val="1"/>
                <c:pt idx="0">
                  <c:v>Previous Year</c:v>
                </c:pt>
              </c:strCache>
            </c:strRef>
          </c:tx>
          <c:spPr>
            <a:ln>
              <a:solidFill>
                <a:srgbClr val="0070C0"/>
              </a:solidFill>
              <a:prstDash val="sysDash"/>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Sheet'!$U$31:$AF$31</c:f>
              <c:numCache>
                <c:formatCode>General</c:formatCode>
                <c:ptCount val="12"/>
                <c:pt idx="0">
                  <c:v>404</c:v>
                </c:pt>
                <c:pt idx="1">
                  <c:v>828</c:v>
                </c:pt>
                <c:pt idx="2">
                  <c:v>1243</c:v>
                </c:pt>
                <c:pt idx="3">
                  <c:v>1745</c:v>
                </c:pt>
                <c:pt idx="4">
                  <c:v>2201</c:v>
                </c:pt>
                <c:pt idx="5">
                  <c:v>2658</c:v>
                </c:pt>
                <c:pt idx="6">
                  <c:v>3087</c:v>
                </c:pt>
                <c:pt idx="7">
                  <c:v>3478</c:v>
                </c:pt>
                <c:pt idx="8">
                  <c:v>4138</c:v>
                </c:pt>
                <c:pt idx="9">
                  <c:v>4526</c:v>
                </c:pt>
                <c:pt idx="10">
                  <c:v>4929</c:v>
                </c:pt>
                <c:pt idx="11">
                  <c:v>5304</c:v>
                </c:pt>
              </c:numCache>
            </c:numRef>
          </c:val>
          <c:smooth val="0"/>
          <c:extLst>
            <c:ext xmlns:c16="http://schemas.microsoft.com/office/drawing/2014/chart" uri="{C3380CC4-5D6E-409C-BE32-E72D297353CC}">
              <c16:uniqueId val="{00000000-3ABB-4EB4-9AD1-73D0F25BF314}"/>
            </c:ext>
          </c:extLst>
        </c:ser>
        <c:ser>
          <c:idx val="3"/>
          <c:order val="1"/>
          <c:tx>
            <c:strRef>
              <c:f>'Further Analysis Sheet'!$T$32</c:f>
              <c:strCache>
                <c:ptCount val="1"/>
                <c:pt idx="0">
                  <c:v>Performance</c:v>
                </c:pt>
              </c:strCache>
            </c:strRef>
          </c:tx>
          <c:spPr>
            <a:ln>
              <a:solidFill>
                <a:schemeClr val="tx1"/>
              </a:solidFill>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Sheet'!$U$32:$AF$32</c:f>
              <c:numCache>
                <c:formatCode>General</c:formatCode>
                <c:ptCount val="12"/>
                <c:pt idx="0">
                  <c:v>438</c:v>
                </c:pt>
                <c:pt idx="1">
                  <c:v>860</c:v>
                </c:pt>
                <c:pt idx="2">
                  <c:v>1307</c:v>
                </c:pt>
                <c:pt idx="3">
                  <c:v>1755</c:v>
                </c:pt>
                <c:pt idx="4">
                  <c:v>2206</c:v>
                </c:pt>
                <c:pt idx="5">
                  <c:v>2611</c:v>
                </c:pt>
                <c:pt idx="6">
                  <c:v>3049</c:v>
                </c:pt>
                <c:pt idx="7">
                  <c:v>3480</c:v>
                </c:pt>
                <c:pt idx="8">
                  <c:v>3968</c:v>
                </c:pt>
                <c:pt idx="9">
                  <c:v>3968</c:v>
                </c:pt>
                <c:pt idx="10">
                  <c:v>3968</c:v>
                </c:pt>
                <c:pt idx="11">
                  <c:v>3968</c:v>
                </c:pt>
              </c:numCache>
            </c:numRef>
          </c:val>
          <c:smooth val="0"/>
          <c:extLst>
            <c:ext xmlns:c16="http://schemas.microsoft.com/office/drawing/2014/chart" uri="{C3380CC4-5D6E-409C-BE32-E72D297353CC}">
              <c16:uniqueId val="{00000001-3ABB-4EB4-9AD1-73D0F25BF314}"/>
            </c:ext>
          </c:extLst>
        </c:ser>
        <c:dLbls>
          <c:showLegendKey val="0"/>
          <c:showVal val="0"/>
          <c:showCatName val="0"/>
          <c:showSerName val="0"/>
          <c:showPercent val="0"/>
          <c:showBubbleSize val="0"/>
        </c:dLbls>
        <c:smooth val="0"/>
        <c:axId val="223427664"/>
        <c:axId val="223428056"/>
      </c:lineChart>
      <c:catAx>
        <c:axId val="223427664"/>
        <c:scaling>
          <c:orientation val="minMax"/>
        </c:scaling>
        <c:delete val="0"/>
        <c:axPos val="b"/>
        <c:numFmt formatCode="General" sourceLinked="0"/>
        <c:majorTickMark val="out"/>
        <c:minorTickMark val="none"/>
        <c:tickLblPos val="nextTo"/>
        <c:txPr>
          <a:bodyPr/>
          <a:lstStyle/>
          <a:p>
            <a:pPr>
              <a:defRPr sz="800"/>
            </a:pPr>
            <a:endParaRPr lang="en-US"/>
          </a:p>
        </c:txPr>
        <c:crossAx val="223428056"/>
        <c:crosses val="autoZero"/>
        <c:auto val="1"/>
        <c:lblAlgn val="ctr"/>
        <c:lblOffset val="100"/>
        <c:noMultiLvlLbl val="0"/>
      </c:catAx>
      <c:valAx>
        <c:axId val="223428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766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272522533912551E-2"/>
          <c:y val="2.7360287974263472E-2"/>
          <c:w val="0.94171610051633736"/>
          <c:h val="0.81261058664605246"/>
        </c:manualLayout>
      </c:layout>
      <c:barChart>
        <c:barDir val="col"/>
        <c:grouping val="clustered"/>
        <c:varyColors val="0"/>
        <c:ser>
          <c:idx val="3"/>
          <c:order val="3"/>
          <c:tx>
            <c:strRef>
              <c:f>'Further Analysis Sheet'!$C$37</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Sheet'!$D$37:$O$37</c:f>
              <c:numCache>
                <c:formatCode>General</c:formatCode>
                <c:ptCount val="12"/>
                <c:pt idx="0">
                  <c:v>514</c:v>
                </c:pt>
                <c:pt idx="1">
                  <c:v>549</c:v>
                </c:pt>
                <c:pt idx="2">
                  <c:v>545</c:v>
                </c:pt>
                <c:pt idx="3">
                  <c:v>610</c:v>
                </c:pt>
                <c:pt idx="4">
                  <c:v>626</c:v>
                </c:pt>
                <c:pt idx="5">
                  <c:v>600</c:v>
                </c:pt>
                <c:pt idx="6">
                  <c:v>620</c:v>
                </c:pt>
                <c:pt idx="7">
                  <c:v>562</c:v>
                </c:pt>
                <c:pt idx="8">
                  <c:v>587</c:v>
                </c:pt>
                <c:pt idx="9">
                  <c:v>0</c:v>
                </c:pt>
                <c:pt idx="10">
                  <c:v>0</c:v>
                </c:pt>
                <c:pt idx="11">
                  <c:v>0</c:v>
                </c:pt>
              </c:numCache>
            </c:numRef>
          </c:val>
          <c:extLst>
            <c:ext xmlns:c16="http://schemas.microsoft.com/office/drawing/2014/chart" uri="{C3380CC4-5D6E-409C-BE32-E72D297353CC}">
              <c16:uniqueId val="{00000000-C8CE-4F5F-8F4A-E18D310A4F4F}"/>
            </c:ext>
          </c:extLst>
        </c:ser>
        <c:dLbls>
          <c:showLegendKey val="0"/>
          <c:showVal val="0"/>
          <c:showCatName val="0"/>
          <c:showSerName val="0"/>
          <c:showPercent val="0"/>
          <c:showBubbleSize val="0"/>
        </c:dLbls>
        <c:gapWidth val="60"/>
        <c:axId val="223428840"/>
        <c:axId val="223429232"/>
      </c:barChart>
      <c:lineChart>
        <c:grouping val="standard"/>
        <c:varyColors val="0"/>
        <c:ser>
          <c:idx val="0"/>
          <c:order val="0"/>
          <c:tx>
            <c:strRef>
              <c:f>'Further Analysis Sheet'!$C$34</c:f>
              <c:strCache>
                <c:ptCount val="1"/>
                <c:pt idx="0">
                  <c:v>Target</c:v>
                </c:pt>
              </c:strCache>
            </c:strRef>
          </c:tx>
          <c:spPr>
            <a:ln>
              <a:solidFill>
                <a:srgbClr val="00B05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Sheet'!$D$34:$O$34</c:f>
              <c:numCache>
                <c:formatCode>General</c:formatCode>
                <c:ptCount val="12"/>
                <c:pt idx="0">
                  <c:v>527</c:v>
                </c:pt>
                <c:pt idx="1">
                  <c:v>516</c:v>
                </c:pt>
                <c:pt idx="2">
                  <c:v>501</c:v>
                </c:pt>
                <c:pt idx="3">
                  <c:v>575</c:v>
                </c:pt>
                <c:pt idx="4">
                  <c:v>581</c:v>
                </c:pt>
                <c:pt idx="5">
                  <c:v>545</c:v>
                </c:pt>
                <c:pt idx="6">
                  <c:v>555</c:v>
                </c:pt>
                <c:pt idx="7">
                  <c:v>535</c:v>
                </c:pt>
                <c:pt idx="8">
                  <c:v>511</c:v>
                </c:pt>
                <c:pt idx="9">
                  <c:v>467</c:v>
                </c:pt>
                <c:pt idx="10">
                  <c:v>448</c:v>
                </c:pt>
                <c:pt idx="11">
                  <c:v>492</c:v>
                </c:pt>
              </c:numCache>
            </c:numRef>
          </c:val>
          <c:smooth val="0"/>
          <c:extLst>
            <c:ext xmlns:c16="http://schemas.microsoft.com/office/drawing/2014/chart" uri="{C3380CC4-5D6E-409C-BE32-E72D297353CC}">
              <c16:uniqueId val="{00000001-C8CE-4F5F-8F4A-E18D310A4F4F}"/>
            </c:ext>
          </c:extLst>
        </c:ser>
        <c:ser>
          <c:idx val="1"/>
          <c:order val="1"/>
          <c:tx>
            <c:strRef>
              <c:f>'Further Analysis Sheet'!$C$35</c:f>
              <c:strCache>
                <c:ptCount val="1"/>
                <c:pt idx="0">
                  <c:v>Target +10%</c:v>
                </c:pt>
              </c:strCache>
            </c:strRef>
          </c:tx>
          <c:spPr>
            <a:ln>
              <a:solidFill>
                <a:srgbClr val="C0000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Sheet'!$D$35:$O$35</c:f>
              <c:numCache>
                <c:formatCode>General</c:formatCode>
                <c:ptCount val="12"/>
                <c:pt idx="0">
                  <c:v>579.70000000000005</c:v>
                </c:pt>
                <c:pt idx="1">
                  <c:v>567.6</c:v>
                </c:pt>
                <c:pt idx="2">
                  <c:v>551.1</c:v>
                </c:pt>
                <c:pt idx="3">
                  <c:v>632.5</c:v>
                </c:pt>
                <c:pt idx="4">
                  <c:v>639.1</c:v>
                </c:pt>
                <c:pt idx="5">
                  <c:v>599.5</c:v>
                </c:pt>
                <c:pt idx="6">
                  <c:v>610.5</c:v>
                </c:pt>
                <c:pt idx="7">
                  <c:v>588.5</c:v>
                </c:pt>
                <c:pt idx="8">
                  <c:v>562.1</c:v>
                </c:pt>
                <c:pt idx="9">
                  <c:v>513.70000000000005</c:v>
                </c:pt>
                <c:pt idx="10">
                  <c:v>492.80000000000007</c:v>
                </c:pt>
                <c:pt idx="11">
                  <c:v>541.20000000000005</c:v>
                </c:pt>
              </c:numCache>
            </c:numRef>
          </c:val>
          <c:smooth val="0"/>
          <c:extLst>
            <c:ext xmlns:c16="http://schemas.microsoft.com/office/drawing/2014/chart" uri="{C3380CC4-5D6E-409C-BE32-E72D297353CC}">
              <c16:uniqueId val="{00000002-C8CE-4F5F-8F4A-E18D310A4F4F}"/>
            </c:ext>
          </c:extLst>
        </c:ser>
        <c:ser>
          <c:idx val="2"/>
          <c:order val="2"/>
          <c:tx>
            <c:strRef>
              <c:f>'Further Analysis Sheet'!$C$36</c:f>
              <c:strCache>
                <c:ptCount val="1"/>
                <c:pt idx="0">
                  <c:v>Target -10%</c:v>
                </c:pt>
              </c:strCache>
            </c:strRef>
          </c:tx>
          <c:spPr>
            <a:ln>
              <a:solidFill>
                <a:srgbClr val="7030A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Sheet'!$D$36:$O$36</c:f>
              <c:numCache>
                <c:formatCode>General</c:formatCode>
                <c:ptCount val="12"/>
                <c:pt idx="0">
                  <c:v>474.3</c:v>
                </c:pt>
                <c:pt idx="1">
                  <c:v>464.40000000000003</c:v>
                </c:pt>
                <c:pt idx="2">
                  <c:v>450.90000000000003</c:v>
                </c:pt>
                <c:pt idx="3">
                  <c:v>517.5</c:v>
                </c:pt>
                <c:pt idx="4">
                  <c:v>522.9</c:v>
                </c:pt>
                <c:pt idx="5">
                  <c:v>490.5</c:v>
                </c:pt>
                <c:pt idx="6">
                  <c:v>499.5</c:v>
                </c:pt>
                <c:pt idx="7">
                  <c:v>481.5</c:v>
                </c:pt>
                <c:pt idx="8">
                  <c:v>459.90000000000003</c:v>
                </c:pt>
                <c:pt idx="9">
                  <c:v>420.3</c:v>
                </c:pt>
                <c:pt idx="10">
                  <c:v>403.2</c:v>
                </c:pt>
                <c:pt idx="11">
                  <c:v>442.8</c:v>
                </c:pt>
              </c:numCache>
            </c:numRef>
          </c:val>
          <c:smooth val="0"/>
          <c:extLst>
            <c:ext xmlns:c16="http://schemas.microsoft.com/office/drawing/2014/chart" uri="{C3380CC4-5D6E-409C-BE32-E72D297353CC}">
              <c16:uniqueId val="{00000003-C8CE-4F5F-8F4A-E18D310A4F4F}"/>
            </c:ext>
          </c:extLst>
        </c:ser>
        <c:dLbls>
          <c:showLegendKey val="0"/>
          <c:showVal val="0"/>
          <c:showCatName val="0"/>
          <c:showSerName val="0"/>
          <c:showPercent val="0"/>
          <c:showBubbleSize val="0"/>
        </c:dLbls>
        <c:marker val="1"/>
        <c:smooth val="0"/>
        <c:axId val="223428840"/>
        <c:axId val="223429232"/>
      </c:lineChart>
      <c:catAx>
        <c:axId val="223428840"/>
        <c:scaling>
          <c:orientation val="minMax"/>
        </c:scaling>
        <c:delete val="0"/>
        <c:axPos val="b"/>
        <c:numFmt formatCode="General" sourceLinked="0"/>
        <c:majorTickMark val="out"/>
        <c:minorTickMark val="none"/>
        <c:tickLblPos val="nextTo"/>
        <c:txPr>
          <a:bodyPr/>
          <a:lstStyle/>
          <a:p>
            <a:pPr>
              <a:defRPr sz="800"/>
            </a:pPr>
            <a:endParaRPr lang="en-US"/>
          </a:p>
        </c:txPr>
        <c:crossAx val="223429232"/>
        <c:crosses val="autoZero"/>
        <c:auto val="1"/>
        <c:lblAlgn val="ctr"/>
        <c:lblOffset val="100"/>
        <c:noMultiLvlLbl val="0"/>
      </c:catAx>
      <c:valAx>
        <c:axId val="223429232"/>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88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771511942510072E-2"/>
          <c:y val="2.723379168716375E-2"/>
          <c:w val="0.91602567020162939"/>
          <c:h val="0.81261058664605246"/>
        </c:manualLayout>
      </c:layout>
      <c:barChart>
        <c:barDir val="col"/>
        <c:grouping val="clustered"/>
        <c:varyColors val="0"/>
        <c:ser>
          <c:idx val="3"/>
          <c:order val="3"/>
          <c:tx>
            <c:strRef>
              <c:f>'Further Analysis Sheet'!$C$42</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Sheet'!$D$42:$O$42</c:f>
              <c:numCache>
                <c:formatCode>0.0%</c:formatCode>
                <c:ptCount val="12"/>
                <c:pt idx="0">
                  <c:v>0.95121951219512191</c:v>
                </c:pt>
                <c:pt idx="1">
                  <c:v>0.95</c:v>
                </c:pt>
                <c:pt idx="2">
                  <c:v>0.96815286624203822</c:v>
                </c:pt>
                <c:pt idx="3">
                  <c:v>0.9538461538461539</c:v>
                </c:pt>
                <c:pt idx="4">
                  <c:v>0.94405594405594406</c:v>
                </c:pt>
                <c:pt idx="5">
                  <c:v>0.96491228070175439</c:v>
                </c:pt>
                <c:pt idx="6">
                  <c:v>0.96363636363636362</c:v>
                </c:pt>
                <c:pt idx="7">
                  <c:v>0.96575342465753422</c:v>
                </c:pt>
                <c:pt idx="8">
                  <c:v>0.97163120567375882</c:v>
                </c:pt>
                <c:pt idx="9">
                  <c:v>0</c:v>
                </c:pt>
                <c:pt idx="10">
                  <c:v>0</c:v>
                </c:pt>
                <c:pt idx="11">
                  <c:v>0</c:v>
                </c:pt>
              </c:numCache>
            </c:numRef>
          </c:val>
          <c:extLst>
            <c:ext xmlns:c16="http://schemas.microsoft.com/office/drawing/2014/chart" uri="{C3380CC4-5D6E-409C-BE32-E72D297353CC}">
              <c16:uniqueId val="{00000000-51B4-4678-8CD0-382B95BF422B}"/>
            </c:ext>
          </c:extLst>
        </c:ser>
        <c:dLbls>
          <c:showLegendKey val="0"/>
          <c:showVal val="0"/>
          <c:showCatName val="0"/>
          <c:showSerName val="0"/>
          <c:showPercent val="0"/>
          <c:showBubbleSize val="0"/>
        </c:dLbls>
        <c:gapWidth val="60"/>
        <c:axId val="223431192"/>
        <c:axId val="223690328"/>
      </c:barChart>
      <c:lineChart>
        <c:grouping val="standard"/>
        <c:varyColors val="0"/>
        <c:ser>
          <c:idx val="0"/>
          <c:order val="0"/>
          <c:tx>
            <c:strRef>
              <c:f>'Further Analysis Sheet'!$C$39</c:f>
              <c:strCache>
                <c:ptCount val="1"/>
                <c:pt idx="0">
                  <c:v>Target</c:v>
                </c:pt>
              </c:strCache>
            </c:strRef>
          </c:tx>
          <c:spPr>
            <a:ln>
              <a:solidFill>
                <a:srgbClr val="00B05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Sheet'!$D$39:$O$39</c:f>
              <c:numCache>
                <c:formatCode>0.00%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1B4-4678-8CD0-382B95BF422B}"/>
            </c:ext>
          </c:extLst>
        </c:ser>
        <c:ser>
          <c:idx val="1"/>
          <c:order val="1"/>
          <c:tx>
            <c:strRef>
              <c:f>'Further Analysis Sheet'!$C$40</c:f>
              <c:strCache>
                <c:ptCount val="1"/>
                <c:pt idx="0">
                  <c:v>Target +10%</c:v>
                </c:pt>
              </c:strCache>
            </c:strRef>
          </c:tx>
          <c:spPr>
            <a:ln>
              <a:solidFill>
                <a:srgbClr val="7030A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Sheet'!$D$40:$O$40</c:f>
              <c:numCache>
                <c:formatCode>0.0%</c:formatCode>
                <c:ptCount val="12"/>
                <c:pt idx="0">
                  <c:v>0.9900000000000001</c:v>
                </c:pt>
                <c:pt idx="1">
                  <c:v>0.9900000000000001</c:v>
                </c:pt>
                <c:pt idx="2">
                  <c:v>0.9900000000000001</c:v>
                </c:pt>
                <c:pt idx="3">
                  <c:v>0.9900000000000001</c:v>
                </c:pt>
                <c:pt idx="4">
                  <c:v>0.9900000000000001</c:v>
                </c:pt>
                <c:pt idx="5">
                  <c:v>0.9900000000000001</c:v>
                </c:pt>
                <c:pt idx="6">
                  <c:v>0.9900000000000001</c:v>
                </c:pt>
                <c:pt idx="7">
                  <c:v>0.9900000000000001</c:v>
                </c:pt>
                <c:pt idx="8">
                  <c:v>0.9900000000000001</c:v>
                </c:pt>
                <c:pt idx="9">
                  <c:v>0.9900000000000001</c:v>
                </c:pt>
                <c:pt idx="10">
                  <c:v>0.9900000000000001</c:v>
                </c:pt>
                <c:pt idx="11">
                  <c:v>0.9900000000000001</c:v>
                </c:pt>
              </c:numCache>
            </c:numRef>
          </c:val>
          <c:smooth val="0"/>
          <c:extLst>
            <c:ext xmlns:c16="http://schemas.microsoft.com/office/drawing/2014/chart" uri="{C3380CC4-5D6E-409C-BE32-E72D297353CC}">
              <c16:uniqueId val="{00000002-51B4-4678-8CD0-382B95BF422B}"/>
            </c:ext>
          </c:extLst>
        </c:ser>
        <c:ser>
          <c:idx val="2"/>
          <c:order val="2"/>
          <c:tx>
            <c:strRef>
              <c:f>'Further Analysis Sheet'!$C$41</c:f>
              <c:strCache>
                <c:ptCount val="1"/>
                <c:pt idx="0">
                  <c:v>Target -10%</c:v>
                </c:pt>
              </c:strCache>
            </c:strRef>
          </c:tx>
          <c:spPr>
            <a:ln>
              <a:solidFill>
                <a:srgbClr val="C0000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Sheet'!$D$41:$O$41</c:f>
              <c:numCache>
                <c:formatCode>0.0%</c:formatCode>
                <c:ptCount val="12"/>
                <c:pt idx="0">
                  <c:v>0.81</c:v>
                </c:pt>
                <c:pt idx="1">
                  <c:v>0.81</c:v>
                </c:pt>
                <c:pt idx="2">
                  <c:v>0.81</c:v>
                </c:pt>
                <c:pt idx="3">
                  <c:v>0.81</c:v>
                </c:pt>
                <c:pt idx="4">
                  <c:v>0.81</c:v>
                </c:pt>
                <c:pt idx="5">
                  <c:v>0.81</c:v>
                </c:pt>
                <c:pt idx="6">
                  <c:v>0.81</c:v>
                </c:pt>
                <c:pt idx="7">
                  <c:v>0.81</c:v>
                </c:pt>
                <c:pt idx="8">
                  <c:v>0.81</c:v>
                </c:pt>
                <c:pt idx="9">
                  <c:v>0.81</c:v>
                </c:pt>
                <c:pt idx="10">
                  <c:v>0.81</c:v>
                </c:pt>
                <c:pt idx="11">
                  <c:v>0.81</c:v>
                </c:pt>
              </c:numCache>
            </c:numRef>
          </c:val>
          <c:smooth val="0"/>
          <c:extLst>
            <c:ext xmlns:c16="http://schemas.microsoft.com/office/drawing/2014/chart" uri="{C3380CC4-5D6E-409C-BE32-E72D297353CC}">
              <c16:uniqueId val="{00000003-51B4-4678-8CD0-382B95BF422B}"/>
            </c:ext>
          </c:extLst>
        </c:ser>
        <c:dLbls>
          <c:showLegendKey val="0"/>
          <c:showVal val="0"/>
          <c:showCatName val="0"/>
          <c:showSerName val="0"/>
          <c:showPercent val="0"/>
          <c:showBubbleSize val="0"/>
        </c:dLbls>
        <c:marker val="1"/>
        <c:smooth val="0"/>
        <c:axId val="223431192"/>
        <c:axId val="223690328"/>
      </c:lineChart>
      <c:catAx>
        <c:axId val="223431192"/>
        <c:scaling>
          <c:orientation val="minMax"/>
        </c:scaling>
        <c:delete val="0"/>
        <c:axPos val="b"/>
        <c:numFmt formatCode="General" sourceLinked="0"/>
        <c:majorTickMark val="out"/>
        <c:minorTickMark val="none"/>
        <c:tickLblPos val="nextTo"/>
        <c:txPr>
          <a:bodyPr/>
          <a:lstStyle/>
          <a:p>
            <a:pPr>
              <a:defRPr sz="800"/>
            </a:pPr>
            <a:endParaRPr lang="en-US"/>
          </a:p>
        </c:txPr>
        <c:crossAx val="223690328"/>
        <c:crosses val="autoZero"/>
        <c:auto val="1"/>
        <c:lblAlgn val="ctr"/>
        <c:lblOffset val="100"/>
        <c:noMultiLvlLbl val="0"/>
      </c:catAx>
      <c:valAx>
        <c:axId val="223690328"/>
        <c:scaling>
          <c:orientation val="minMax"/>
          <c:max val="1"/>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431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24678490333217E-2"/>
          <c:y val="2.723379168716375E-2"/>
          <c:w val="0.94075321509666787"/>
          <c:h val="0.81261058664605246"/>
        </c:manualLayout>
      </c:layout>
      <c:barChart>
        <c:barDir val="col"/>
        <c:grouping val="clustered"/>
        <c:varyColors val="0"/>
        <c:ser>
          <c:idx val="3"/>
          <c:order val="3"/>
          <c:tx>
            <c:strRef>
              <c:f>'Further Analysis Sheet'!$C$47</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Sheet'!$D$47:$O$47</c:f>
              <c:numCache>
                <c:formatCode>0.0%</c:formatCode>
                <c:ptCount val="12"/>
                <c:pt idx="0">
                  <c:v>4.0599999999999997E-2</c:v>
                </c:pt>
                <c:pt idx="1">
                  <c:v>4.4299999999999999E-2</c:v>
                </c:pt>
                <c:pt idx="2">
                  <c:v>3.85E-2</c:v>
                </c:pt>
                <c:pt idx="3">
                  <c:v>4.6100000000000002E-2</c:v>
                </c:pt>
                <c:pt idx="4">
                  <c:v>4.6300000000000001E-2</c:v>
                </c:pt>
                <c:pt idx="5">
                  <c:v>4.5999999999999999E-2</c:v>
                </c:pt>
                <c:pt idx="6">
                  <c:v>4.4900000000000002E-2</c:v>
                </c:pt>
                <c:pt idx="7">
                  <c:v>4.41E-2</c:v>
                </c:pt>
                <c:pt idx="8">
                  <c:v>4.2700000000000002E-2</c:v>
                </c:pt>
                <c:pt idx="9">
                  <c:v>0</c:v>
                </c:pt>
                <c:pt idx="10">
                  <c:v>0</c:v>
                </c:pt>
                <c:pt idx="11">
                  <c:v>0</c:v>
                </c:pt>
              </c:numCache>
            </c:numRef>
          </c:val>
          <c:extLst>
            <c:ext xmlns:c16="http://schemas.microsoft.com/office/drawing/2014/chart" uri="{C3380CC4-5D6E-409C-BE32-E72D297353CC}">
              <c16:uniqueId val="{00000000-CEDF-4EA4-A199-10861BB55B2A}"/>
            </c:ext>
          </c:extLst>
        </c:ser>
        <c:dLbls>
          <c:showLegendKey val="0"/>
          <c:showVal val="0"/>
          <c:showCatName val="0"/>
          <c:showSerName val="0"/>
          <c:showPercent val="0"/>
          <c:showBubbleSize val="0"/>
        </c:dLbls>
        <c:gapWidth val="60"/>
        <c:axId val="223691112"/>
        <c:axId val="223691504"/>
      </c:barChart>
      <c:lineChart>
        <c:grouping val="standard"/>
        <c:varyColors val="0"/>
        <c:ser>
          <c:idx val="0"/>
          <c:order val="0"/>
          <c:tx>
            <c:strRef>
              <c:f>'Further Analysis Sheet'!$C$44</c:f>
              <c:strCache>
                <c:ptCount val="1"/>
                <c:pt idx="0">
                  <c:v>Target</c:v>
                </c:pt>
              </c:strCache>
            </c:strRef>
          </c:tx>
          <c:spPr>
            <a:ln>
              <a:solidFill>
                <a:srgbClr val="00B05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Sheet'!$D$44:$O$44</c:f>
              <c:numCache>
                <c:formatCode>0.0%</c:formatCode>
                <c:ptCount val="12"/>
                <c:pt idx="0">
                  <c:v>0.04</c:v>
                </c:pt>
                <c:pt idx="1">
                  <c:v>0.04</c:v>
                </c:pt>
                <c:pt idx="2">
                  <c:v>0.04</c:v>
                </c:pt>
                <c:pt idx="3">
                  <c:v>0.04</c:v>
                </c:pt>
                <c:pt idx="4">
                  <c:v>0.04</c:v>
                </c:pt>
                <c:pt idx="5">
                  <c:v>0.04</c:v>
                </c:pt>
                <c:pt idx="6">
                  <c:v>0.04</c:v>
                </c:pt>
                <c:pt idx="7">
                  <c:v>0.04</c:v>
                </c:pt>
                <c:pt idx="8">
                  <c:v>0.04</c:v>
                </c:pt>
                <c:pt idx="9">
                  <c:v>0.04</c:v>
                </c:pt>
                <c:pt idx="10">
                  <c:v>0.04</c:v>
                </c:pt>
                <c:pt idx="11">
                  <c:v>0.04</c:v>
                </c:pt>
              </c:numCache>
            </c:numRef>
          </c:val>
          <c:smooth val="0"/>
          <c:extLst>
            <c:ext xmlns:c16="http://schemas.microsoft.com/office/drawing/2014/chart" uri="{C3380CC4-5D6E-409C-BE32-E72D297353CC}">
              <c16:uniqueId val="{00000001-CEDF-4EA4-A199-10861BB55B2A}"/>
            </c:ext>
          </c:extLst>
        </c:ser>
        <c:ser>
          <c:idx val="1"/>
          <c:order val="1"/>
          <c:tx>
            <c:strRef>
              <c:f>'Further Analysis Sheet'!$C$45</c:f>
              <c:strCache>
                <c:ptCount val="1"/>
                <c:pt idx="0">
                  <c:v>Target +10%</c:v>
                </c:pt>
              </c:strCache>
            </c:strRef>
          </c:tx>
          <c:spPr>
            <a:ln>
              <a:solidFill>
                <a:srgbClr val="C0000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Sheet'!$D$45:$O$45</c:f>
              <c:numCache>
                <c:formatCode>0.0%</c:formatCode>
                <c:ptCount val="12"/>
                <c:pt idx="0">
                  <c:v>4.4000000000000004E-2</c:v>
                </c:pt>
                <c:pt idx="1">
                  <c:v>4.4000000000000004E-2</c:v>
                </c:pt>
                <c:pt idx="2">
                  <c:v>4.4000000000000004E-2</c:v>
                </c:pt>
                <c:pt idx="3">
                  <c:v>4.4000000000000004E-2</c:v>
                </c:pt>
                <c:pt idx="4">
                  <c:v>4.4000000000000004E-2</c:v>
                </c:pt>
                <c:pt idx="5">
                  <c:v>4.4000000000000004E-2</c:v>
                </c:pt>
                <c:pt idx="6">
                  <c:v>4.4000000000000004E-2</c:v>
                </c:pt>
                <c:pt idx="7">
                  <c:v>4.4000000000000004E-2</c:v>
                </c:pt>
                <c:pt idx="8">
                  <c:v>4.4000000000000004E-2</c:v>
                </c:pt>
                <c:pt idx="9">
                  <c:v>4.4000000000000004E-2</c:v>
                </c:pt>
                <c:pt idx="10">
                  <c:v>4.4000000000000004E-2</c:v>
                </c:pt>
                <c:pt idx="11">
                  <c:v>4.4000000000000004E-2</c:v>
                </c:pt>
              </c:numCache>
            </c:numRef>
          </c:val>
          <c:smooth val="0"/>
          <c:extLst>
            <c:ext xmlns:c16="http://schemas.microsoft.com/office/drawing/2014/chart" uri="{C3380CC4-5D6E-409C-BE32-E72D297353CC}">
              <c16:uniqueId val="{00000002-CEDF-4EA4-A199-10861BB55B2A}"/>
            </c:ext>
          </c:extLst>
        </c:ser>
        <c:ser>
          <c:idx val="2"/>
          <c:order val="2"/>
          <c:tx>
            <c:strRef>
              <c:f>'Further Analysis Sheet'!$C$46</c:f>
              <c:strCache>
                <c:ptCount val="1"/>
                <c:pt idx="0">
                  <c:v>Target -10%</c:v>
                </c:pt>
              </c:strCache>
            </c:strRef>
          </c:tx>
          <c:spPr>
            <a:ln>
              <a:solidFill>
                <a:srgbClr val="7030A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Sheet'!$D$46:$O$46</c:f>
              <c:numCache>
                <c:formatCode>0.0%</c:formatCode>
                <c:ptCount val="12"/>
                <c:pt idx="0">
                  <c:v>3.6000000000000004E-2</c:v>
                </c:pt>
                <c:pt idx="1">
                  <c:v>3.6000000000000004E-2</c:v>
                </c:pt>
                <c:pt idx="2">
                  <c:v>3.6000000000000004E-2</c:v>
                </c:pt>
                <c:pt idx="3">
                  <c:v>3.6000000000000004E-2</c:v>
                </c:pt>
                <c:pt idx="4">
                  <c:v>3.6000000000000004E-2</c:v>
                </c:pt>
                <c:pt idx="5">
                  <c:v>3.6000000000000004E-2</c:v>
                </c:pt>
                <c:pt idx="6">
                  <c:v>3.6000000000000004E-2</c:v>
                </c:pt>
                <c:pt idx="7">
                  <c:v>3.6000000000000004E-2</c:v>
                </c:pt>
                <c:pt idx="8">
                  <c:v>3.6000000000000004E-2</c:v>
                </c:pt>
                <c:pt idx="9">
                  <c:v>3.6000000000000004E-2</c:v>
                </c:pt>
                <c:pt idx="10">
                  <c:v>3.6000000000000004E-2</c:v>
                </c:pt>
                <c:pt idx="11">
                  <c:v>3.6000000000000004E-2</c:v>
                </c:pt>
              </c:numCache>
            </c:numRef>
          </c:val>
          <c:smooth val="0"/>
          <c:extLst>
            <c:ext xmlns:c16="http://schemas.microsoft.com/office/drawing/2014/chart" uri="{C3380CC4-5D6E-409C-BE32-E72D297353CC}">
              <c16:uniqueId val="{00000003-CEDF-4EA4-A199-10861BB55B2A}"/>
            </c:ext>
          </c:extLst>
        </c:ser>
        <c:dLbls>
          <c:showLegendKey val="0"/>
          <c:showVal val="0"/>
          <c:showCatName val="0"/>
          <c:showSerName val="0"/>
          <c:showPercent val="0"/>
          <c:showBubbleSize val="0"/>
        </c:dLbls>
        <c:marker val="1"/>
        <c:smooth val="0"/>
        <c:axId val="223691112"/>
        <c:axId val="223691504"/>
      </c:lineChart>
      <c:catAx>
        <c:axId val="223691112"/>
        <c:scaling>
          <c:orientation val="minMax"/>
        </c:scaling>
        <c:delete val="0"/>
        <c:axPos val="b"/>
        <c:numFmt formatCode="General" sourceLinked="0"/>
        <c:majorTickMark val="out"/>
        <c:minorTickMark val="none"/>
        <c:tickLblPos val="nextTo"/>
        <c:txPr>
          <a:bodyPr/>
          <a:lstStyle/>
          <a:p>
            <a:pPr>
              <a:defRPr sz="800"/>
            </a:pPr>
            <a:endParaRPr lang="en-US"/>
          </a:p>
        </c:txPr>
        <c:crossAx val="223691504"/>
        <c:crosses val="autoZero"/>
        <c:auto val="1"/>
        <c:lblAlgn val="ctr"/>
        <c:lblOffset val="100"/>
        <c:noMultiLvlLbl val="0"/>
      </c:catAx>
      <c:valAx>
        <c:axId val="223691504"/>
        <c:scaling>
          <c:orientation val="minMax"/>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691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863830604989403E-2"/>
          <c:y val="2.723379168716375E-2"/>
          <c:w val="0.96312479244526028"/>
          <c:h val="0.81261058664605246"/>
        </c:manualLayout>
      </c:layout>
      <c:barChart>
        <c:barDir val="col"/>
        <c:grouping val="clustered"/>
        <c:varyColors val="0"/>
        <c:ser>
          <c:idx val="3"/>
          <c:order val="3"/>
          <c:tx>
            <c:strRef>
              <c:f>'Further Analysis Sheet'!$C$52</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Sheet'!$D$52:$O$52</c:f>
              <c:numCache>
                <c:formatCode>General</c:formatCode>
                <c:ptCount val="12"/>
                <c:pt idx="0">
                  <c:v>4.4000000000000004</c:v>
                </c:pt>
                <c:pt idx="1">
                  <c:v>3.6</c:v>
                </c:pt>
                <c:pt idx="2">
                  <c:v>3.1</c:v>
                </c:pt>
                <c:pt idx="3">
                  <c:v>3.2</c:v>
                </c:pt>
                <c:pt idx="4">
                  <c:v>3.1</c:v>
                </c:pt>
                <c:pt idx="5">
                  <c:v>3.3</c:v>
                </c:pt>
                <c:pt idx="6">
                  <c:v>4</c:v>
                </c:pt>
                <c:pt idx="7">
                  <c:v>5</c:v>
                </c:pt>
                <c:pt idx="8">
                  <c:v>5.5</c:v>
                </c:pt>
                <c:pt idx="9">
                  <c:v>0</c:v>
                </c:pt>
                <c:pt idx="10">
                  <c:v>0</c:v>
                </c:pt>
                <c:pt idx="11">
                  <c:v>0</c:v>
                </c:pt>
              </c:numCache>
            </c:numRef>
          </c:val>
          <c:extLst>
            <c:ext xmlns:c16="http://schemas.microsoft.com/office/drawing/2014/chart" uri="{C3380CC4-5D6E-409C-BE32-E72D297353CC}">
              <c16:uniqueId val="{00000000-42AD-41F1-A1F7-130E39D59EEE}"/>
            </c:ext>
          </c:extLst>
        </c:ser>
        <c:dLbls>
          <c:showLegendKey val="0"/>
          <c:showVal val="0"/>
          <c:showCatName val="0"/>
          <c:showSerName val="0"/>
          <c:showPercent val="0"/>
          <c:showBubbleSize val="0"/>
        </c:dLbls>
        <c:gapWidth val="60"/>
        <c:axId val="223692288"/>
        <c:axId val="223692680"/>
      </c:barChart>
      <c:lineChart>
        <c:grouping val="standard"/>
        <c:varyColors val="0"/>
        <c:ser>
          <c:idx val="0"/>
          <c:order val="0"/>
          <c:tx>
            <c:strRef>
              <c:f>'Further Analysis Sheet'!$C$49</c:f>
              <c:strCache>
                <c:ptCount val="1"/>
                <c:pt idx="0">
                  <c:v>Target</c:v>
                </c:pt>
              </c:strCache>
            </c:strRef>
          </c:tx>
          <c:spPr>
            <a:ln>
              <a:solidFill>
                <a:srgbClr val="00B05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Sheet'!$D$49:$O$49</c:f>
              <c:numCache>
                <c:formatCode>0.0</c:formatCode>
                <c:ptCount val="12"/>
                <c:pt idx="0">
                  <c:v>5.3992425389650496</c:v>
                </c:pt>
                <c:pt idx="1">
                  <c:v>4.7404685820334738</c:v>
                </c:pt>
                <c:pt idx="2">
                  <c:v>3.7883840310362968</c:v>
                </c:pt>
                <c:pt idx="3">
                  <c:v>3.7735198188412018</c:v>
                </c:pt>
                <c:pt idx="4">
                  <c:v>3.8060078640931705</c:v>
                </c:pt>
                <c:pt idx="5">
                  <c:v>3.8879493209583038</c:v>
                </c:pt>
                <c:pt idx="6">
                  <c:v>5.131365012180785</c:v>
                </c:pt>
                <c:pt idx="7">
                  <c:v>6.3839002348072516</c:v>
                </c:pt>
                <c:pt idx="8">
                  <c:v>7.0188814726413344</c:v>
                </c:pt>
                <c:pt idx="9">
                  <c:v>7.6455958655232106</c:v>
                </c:pt>
                <c:pt idx="10">
                  <c:v>6.6988396956729241</c:v>
                </c:pt>
                <c:pt idx="11">
                  <c:v>6.725845563247006</c:v>
                </c:pt>
              </c:numCache>
            </c:numRef>
          </c:val>
          <c:smooth val="0"/>
          <c:extLst>
            <c:ext xmlns:c16="http://schemas.microsoft.com/office/drawing/2014/chart" uri="{C3380CC4-5D6E-409C-BE32-E72D297353CC}">
              <c16:uniqueId val="{00000001-42AD-41F1-A1F7-130E39D59EEE}"/>
            </c:ext>
          </c:extLst>
        </c:ser>
        <c:ser>
          <c:idx val="1"/>
          <c:order val="1"/>
          <c:tx>
            <c:strRef>
              <c:f>'Further Analysis Sheet'!$C$50</c:f>
              <c:strCache>
                <c:ptCount val="1"/>
                <c:pt idx="0">
                  <c:v>Target +10%</c:v>
                </c:pt>
              </c:strCache>
            </c:strRef>
          </c:tx>
          <c:spPr>
            <a:ln>
              <a:solidFill>
                <a:srgbClr val="C0000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Sheet'!$D$50:$O$50</c:f>
              <c:numCache>
                <c:formatCode>0.0</c:formatCode>
                <c:ptCount val="12"/>
                <c:pt idx="0">
                  <c:v>5.9391667928615552</c:v>
                </c:pt>
                <c:pt idx="1">
                  <c:v>5.2145154402368217</c:v>
                </c:pt>
                <c:pt idx="2">
                  <c:v>4.1672224341399264</c:v>
                </c:pt>
                <c:pt idx="3">
                  <c:v>4.150871800725322</c:v>
                </c:pt>
                <c:pt idx="4">
                  <c:v>4.186608650502488</c:v>
                </c:pt>
                <c:pt idx="5">
                  <c:v>4.2767442530541349</c:v>
                </c:pt>
                <c:pt idx="6">
                  <c:v>5.6445015133988639</c:v>
                </c:pt>
                <c:pt idx="7">
                  <c:v>7.0222902582879776</c:v>
                </c:pt>
                <c:pt idx="8">
                  <c:v>7.720769619905469</c:v>
                </c:pt>
                <c:pt idx="9">
                  <c:v>8.4101554520755322</c:v>
                </c:pt>
                <c:pt idx="10">
                  <c:v>7.3687236652402168</c:v>
                </c:pt>
                <c:pt idx="11">
                  <c:v>7.3984301195717075</c:v>
                </c:pt>
              </c:numCache>
            </c:numRef>
          </c:val>
          <c:smooth val="0"/>
          <c:extLst>
            <c:ext xmlns:c16="http://schemas.microsoft.com/office/drawing/2014/chart" uri="{C3380CC4-5D6E-409C-BE32-E72D297353CC}">
              <c16:uniqueId val="{00000002-42AD-41F1-A1F7-130E39D59EEE}"/>
            </c:ext>
          </c:extLst>
        </c:ser>
        <c:ser>
          <c:idx val="2"/>
          <c:order val="2"/>
          <c:tx>
            <c:strRef>
              <c:f>'Further Analysis Sheet'!$C$51</c:f>
              <c:strCache>
                <c:ptCount val="1"/>
                <c:pt idx="0">
                  <c:v>Target -10%</c:v>
                </c:pt>
              </c:strCache>
            </c:strRef>
          </c:tx>
          <c:spPr>
            <a:ln>
              <a:solidFill>
                <a:srgbClr val="7030A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Sheet'!$D$51:$O$51</c:f>
              <c:numCache>
                <c:formatCode>0.0</c:formatCode>
                <c:ptCount val="12"/>
                <c:pt idx="0">
                  <c:v>4.8593182850685448</c:v>
                </c:pt>
                <c:pt idx="1">
                  <c:v>4.2664217238301267</c:v>
                </c:pt>
                <c:pt idx="2">
                  <c:v>3.4095456279326672</c:v>
                </c:pt>
                <c:pt idx="3">
                  <c:v>3.3961678369570816</c:v>
                </c:pt>
                <c:pt idx="4">
                  <c:v>3.4254070776838534</c:v>
                </c:pt>
                <c:pt idx="5">
                  <c:v>3.4991543888624737</c:v>
                </c:pt>
                <c:pt idx="6">
                  <c:v>4.618228510962707</c:v>
                </c:pt>
                <c:pt idx="7">
                  <c:v>5.7455102113265264</c:v>
                </c:pt>
                <c:pt idx="8">
                  <c:v>6.3169933253772008</c:v>
                </c:pt>
                <c:pt idx="9">
                  <c:v>6.8810362789708899</c:v>
                </c:pt>
                <c:pt idx="10">
                  <c:v>6.0289557261056315</c:v>
                </c:pt>
                <c:pt idx="11">
                  <c:v>6.0532610069223054</c:v>
                </c:pt>
              </c:numCache>
            </c:numRef>
          </c:val>
          <c:smooth val="0"/>
          <c:extLst>
            <c:ext xmlns:c16="http://schemas.microsoft.com/office/drawing/2014/chart" uri="{C3380CC4-5D6E-409C-BE32-E72D297353CC}">
              <c16:uniqueId val="{00000003-42AD-41F1-A1F7-130E39D59EEE}"/>
            </c:ext>
          </c:extLst>
        </c:ser>
        <c:dLbls>
          <c:showLegendKey val="0"/>
          <c:showVal val="0"/>
          <c:showCatName val="0"/>
          <c:showSerName val="0"/>
          <c:showPercent val="0"/>
          <c:showBubbleSize val="0"/>
        </c:dLbls>
        <c:marker val="1"/>
        <c:smooth val="0"/>
        <c:axId val="223692288"/>
        <c:axId val="223692680"/>
      </c:lineChart>
      <c:catAx>
        <c:axId val="223692288"/>
        <c:scaling>
          <c:orientation val="minMax"/>
        </c:scaling>
        <c:delete val="0"/>
        <c:axPos val="b"/>
        <c:numFmt formatCode="General" sourceLinked="0"/>
        <c:majorTickMark val="out"/>
        <c:minorTickMark val="none"/>
        <c:tickLblPos val="nextTo"/>
        <c:txPr>
          <a:bodyPr/>
          <a:lstStyle/>
          <a:p>
            <a:pPr>
              <a:defRPr sz="800"/>
            </a:pPr>
            <a:endParaRPr lang="en-US"/>
          </a:p>
        </c:txPr>
        <c:crossAx val="223692680"/>
        <c:crosses val="autoZero"/>
        <c:auto val="1"/>
        <c:lblAlgn val="ctr"/>
        <c:lblOffset val="100"/>
        <c:noMultiLvlLbl val="0"/>
      </c:catAx>
      <c:valAx>
        <c:axId val="22369268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692288"/>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934204713682086E-2"/>
          <c:y val="4.7275147799158576E-2"/>
          <c:w val="0.92434165933209911"/>
          <c:h val="0.81692322210903756"/>
        </c:manualLayout>
      </c:layout>
      <c:lineChart>
        <c:grouping val="standard"/>
        <c:varyColors val="0"/>
        <c:ser>
          <c:idx val="2"/>
          <c:order val="0"/>
          <c:tx>
            <c:strRef>
              <c:f>'Further Analysis Sheet'!$T$6</c:f>
              <c:strCache>
                <c:ptCount val="1"/>
                <c:pt idx="0">
                  <c:v>Previous Year</c:v>
                </c:pt>
              </c:strCache>
            </c:strRef>
          </c:tx>
          <c:spPr>
            <a:ln>
              <a:solidFill>
                <a:srgbClr val="0070C0"/>
              </a:solidFill>
              <a:prstDash val="sysDash"/>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Sheet'!$U$6:$AE$6</c:f>
              <c:numCache>
                <c:formatCode>General</c:formatCode>
                <c:ptCount val="11"/>
                <c:pt idx="0">
                  <c:v>2368</c:v>
                </c:pt>
                <c:pt idx="1">
                  <c:v>4434</c:v>
                </c:pt>
                <c:pt idx="2">
                  <c:v>6469</c:v>
                </c:pt>
                <c:pt idx="3">
                  <c:v>9789</c:v>
                </c:pt>
                <c:pt idx="4">
                  <c:v>13293</c:v>
                </c:pt>
                <c:pt idx="5">
                  <c:v>15173</c:v>
                </c:pt>
                <c:pt idx="6">
                  <c:v>16892</c:v>
                </c:pt>
                <c:pt idx="7">
                  <c:v>18586</c:v>
                </c:pt>
                <c:pt idx="8">
                  <c:v>20290</c:v>
                </c:pt>
                <c:pt idx="9">
                  <c:v>21710</c:v>
                </c:pt>
                <c:pt idx="10">
                  <c:v>23342</c:v>
                </c:pt>
              </c:numCache>
            </c:numRef>
          </c:val>
          <c:smooth val="0"/>
          <c:extLst>
            <c:ext xmlns:c16="http://schemas.microsoft.com/office/drawing/2014/chart" uri="{C3380CC4-5D6E-409C-BE32-E72D297353CC}">
              <c16:uniqueId val="{00000000-445E-4A8F-AEEB-F6D301EE0B9C}"/>
            </c:ext>
          </c:extLst>
        </c:ser>
        <c:ser>
          <c:idx val="3"/>
          <c:order val="1"/>
          <c:tx>
            <c:strRef>
              <c:f>'Further Analysis Sheet'!$T$7</c:f>
              <c:strCache>
                <c:ptCount val="1"/>
                <c:pt idx="0">
                  <c:v>Performance</c:v>
                </c:pt>
              </c:strCache>
            </c:strRef>
          </c:tx>
          <c:spPr>
            <a:ln>
              <a:solidFill>
                <a:schemeClr val="tx1"/>
              </a:solidFill>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Sheet'!$U$7:$AE$7</c:f>
              <c:numCache>
                <c:formatCode>General</c:formatCode>
                <c:ptCount val="11"/>
                <c:pt idx="0">
                  <c:v>1849</c:v>
                </c:pt>
                <c:pt idx="1">
                  <c:v>3492</c:v>
                </c:pt>
                <c:pt idx="2">
                  <c:v>5771</c:v>
                </c:pt>
                <c:pt idx="3">
                  <c:v>7563</c:v>
                </c:pt>
                <c:pt idx="4">
                  <c:v>9533</c:v>
                </c:pt>
                <c:pt idx="5">
                  <c:v>11170</c:v>
                </c:pt>
                <c:pt idx="6">
                  <c:v>12824</c:v>
                </c:pt>
                <c:pt idx="7">
                  <c:v>14455</c:v>
                </c:pt>
                <c:pt idx="8">
                  <c:v>15991</c:v>
                </c:pt>
                <c:pt idx="9">
                  <c:v>15991</c:v>
                </c:pt>
                <c:pt idx="10">
                  <c:v>15991</c:v>
                </c:pt>
              </c:numCache>
            </c:numRef>
          </c:val>
          <c:smooth val="0"/>
          <c:extLst>
            <c:ext xmlns:c16="http://schemas.microsoft.com/office/drawing/2014/chart" uri="{C3380CC4-5D6E-409C-BE32-E72D297353CC}">
              <c16:uniqueId val="{00000001-445E-4A8F-AEEB-F6D301EE0B9C}"/>
            </c:ext>
          </c:extLst>
        </c:ser>
        <c:dLbls>
          <c:showLegendKey val="0"/>
          <c:showVal val="0"/>
          <c:showCatName val="0"/>
          <c:showSerName val="0"/>
          <c:showPercent val="0"/>
          <c:showBubbleSize val="0"/>
        </c:dLbls>
        <c:smooth val="0"/>
        <c:axId val="248579712"/>
        <c:axId val="248580104"/>
      </c:lineChart>
      <c:catAx>
        <c:axId val="248579712"/>
        <c:scaling>
          <c:orientation val="minMax"/>
        </c:scaling>
        <c:delete val="0"/>
        <c:axPos val="b"/>
        <c:numFmt formatCode="General" sourceLinked="0"/>
        <c:majorTickMark val="out"/>
        <c:minorTickMark val="none"/>
        <c:tickLblPos val="nextTo"/>
        <c:txPr>
          <a:bodyPr/>
          <a:lstStyle/>
          <a:p>
            <a:pPr>
              <a:defRPr sz="800"/>
            </a:pPr>
            <a:endParaRPr lang="en-US"/>
          </a:p>
        </c:txPr>
        <c:crossAx val="248580104"/>
        <c:crosses val="autoZero"/>
        <c:auto val="1"/>
        <c:lblAlgn val="ctr"/>
        <c:lblOffset val="100"/>
        <c:noMultiLvlLbl val="0"/>
      </c:catAx>
      <c:valAx>
        <c:axId val="2485801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9712"/>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896331367332004E-2"/>
          <c:y val="3.7260461069588614E-2"/>
          <c:w val="0.93295665692096541"/>
          <c:h val="0.79179632271042577"/>
        </c:manualLayout>
      </c:layout>
      <c:barChart>
        <c:barDir val="col"/>
        <c:grouping val="clustered"/>
        <c:varyColors val="0"/>
        <c:ser>
          <c:idx val="3"/>
          <c:order val="3"/>
          <c:tx>
            <c:strRef>
              <c:f>'Further Analysis Sheet'!$C$12</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Sheet'!$D$12:$O$12</c:f>
              <c:numCache>
                <c:formatCode>General</c:formatCode>
                <c:ptCount val="12"/>
                <c:pt idx="0">
                  <c:v>1564</c:v>
                </c:pt>
                <c:pt idx="1">
                  <c:v>1636</c:v>
                </c:pt>
                <c:pt idx="2">
                  <c:v>1742</c:v>
                </c:pt>
                <c:pt idx="3">
                  <c:v>1478</c:v>
                </c:pt>
                <c:pt idx="4">
                  <c:v>1548</c:v>
                </c:pt>
                <c:pt idx="5">
                  <c:v>1441</c:v>
                </c:pt>
                <c:pt idx="6">
                  <c:v>1472</c:v>
                </c:pt>
                <c:pt idx="7">
                  <c:v>1387</c:v>
                </c:pt>
                <c:pt idx="8">
                  <c:v>1346</c:v>
                </c:pt>
                <c:pt idx="9">
                  <c:v>0</c:v>
                </c:pt>
                <c:pt idx="10">
                  <c:v>0</c:v>
                </c:pt>
                <c:pt idx="11">
                  <c:v>0</c:v>
                </c:pt>
              </c:numCache>
            </c:numRef>
          </c:val>
          <c:extLst>
            <c:ext xmlns:c16="http://schemas.microsoft.com/office/drawing/2014/chart" uri="{C3380CC4-5D6E-409C-BE32-E72D297353CC}">
              <c16:uniqueId val="{00000000-33BD-4422-A787-02E1B8A68647}"/>
            </c:ext>
          </c:extLst>
        </c:ser>
        <c:dLbls>
          <c:showLegendKey val="0"/>
          <c:showVal val="0"/>
          <c:showCatName val="0"/>
          <c:showSerName val="0"/>
          <c:showPercent val="0"/>
          <c:showBubbleSize val="0"/>
        </c:dLbls>
        <c:gapWidth val="60"/>
        <c:axId val="223250160"/>
        <c:axId val="223099056"/>
      </c:barChart>
      <c:lineChart>
        <c:grouping val="standard"/>
        <c:varyColors val="0"/>
        <c:ser>
          <c:idx val="0"/>
          <c:order val="0"/>
          <c:tx>
            <c:strRef>
              <c:f>'Further Analysis Sheet'!$C$9</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Sheet'!$D$9:$O$9</c:f>
              <c:numCache>
                <c:formatCode>General</c:formatCode>
                <c:ptCount val="12"/>
                <c:pt idx="0">
                  <c:v>1741</c:v>
                </c:pt>
                <c:pt idx="1">
                  <c:v>1717</c:v>
                </c:pt>
                <c:pt idx="2">
                  <c:v>1710</c:v>
                </c:pt>
                <c:pt idx="3">
                  <c:v>1993</c:v>
                </c:pt>
                <c:pt idx="4">
                  <c:v>1792</c:v>
                </c:pt>
                <c:pt idx="5">
                  <c:v>1612</c:v>
                </c:pt>
                <c:pt idx="6">
                  <c:v>1530</c:v>
                </c:pt>
                <c:pt idx="7">
                  <c:v>1609</c:v>
                </c:pt>
                <c:pt idx="8">
                  <c:v>1445</c:v>
                </c:pt>
                <c:pt idx="9">
                  <c:v>1273</c:v>
                </c:pt>
                <c:pt idx="10">
                  <c:v>1270</c:v>
                </c:pt>
                <c:pt idx="11">
                  <c:v>1522</c:v>
                </c:pt>
              </c:numCache>
            </c:numRef>
          </c:val>
          <c:smooth val="0"/>
          <c:extLst>
            <c:ext xmlns:c16="http://schemas.microsoft.com/office/drawing/2014/chart" uri="{C3380CC4-5D6E-409C-BE32-E72D297353CC}">
              <c16:uniqueId val="{00000001-33BD-4422-A787-02E1B8A68647}"/>
            </c:ext>
          </c:extLst>
        </c:ser>
        <c:ser>
          <c:idx val="1"/>
          <c:order val="1"/>
          <c:tx>
            <c:strRef>
              <c:f>'Further Analysis Sheet'!$C$10</c:f>
              <c:strCache>
                <c:ptCount val="1"/>
                <c:pt idx="0">
                  <c:v>Target +10%</c:v>
                </c:pt>
              </c:strCache>
            </c:strRef>
          </c:tx>
          <c:spPr>
            <a:ln>
              <a:solidFill>
                <a:srgbClr val="C0000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Sheet'!$D$10:$O$10</c:f>
              <c:numCache>
                <c:formatCode>General</c:formatCode>
                <c:ptCount val="12"/>
                <c:pt idx="0">
                  <c:v>1915.1000000000001</c:v>
                </c:pt>
                <c:pt idx="1">
                  <c:v>1888.7</c:v>
                </c:pt>
                <c:pt idx="2">
                  <c:v>1881.0000000000002</c:v>
                </c:pt>
                <c:pt idx="3">
                  <c:v>2192.3000000000002</c:v>
                </c:pt>
                <c:pt idx="4">
                  <c:v>1971.2000000000003</c:v>
                </c:pt>
                <c:pt idx="5">
                  <c:v>1773.2</c:v>
                </c:pt>
                <c:pt idx="6">
                  <c:v>1683.0000000000002</c:v>
                </c:pt>
                <c:pt idx="7">
                  <c:v>1769.9</c:v>
                </c:pt>
                <c:pt idx="8">
                  <c:v>1589.5000000000002</c:v>
                </c:pt>
                <c:pt idx="9">
                  <c:v>1400.3000000000002</c:v>
                </c:pt>
                <c:pt idx="10">
                  <c:v>1397</c:v>
                </c:pt>
                <c:pt idx="11">
                  <c:v>1674.2</c:v>
                </c:pt>
              </c:numCache>
            </c:numRef>
          </c:val>
          <c:smooth val="0"/>
          <c:extLst>
            <c:ext xmlns:c16="http://schemas.microsoft.com/office/drawing/2014/chart" uri="{C3380CC4-5D6E-409C-BE32-E72D297353CC}">
              <c16:uniqueId val="{00000002-33BD-4422-A787-02E1B8A68647}"/>
            </c:ext>
          </c:extLst>
        </c:ser>
        <c:ser>
          <c:idx val="2"/>
          <c:order val="2"/>
          <c:tx>
            <c:strRef>
              <c:f>'Further Analysis Sheet'!$C$11</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Sheet'!$D$11:$O$11</c:f>
              <c:numCache>
                <c:formatCode>General</c:formatCode>
                <c:ptCount val="12"/>
                <c:pt idx="0">
                  <c:v>1566.9</c:v>
                </c:pt>
                <c:pt idx="1">
                  <c:v>1545.3</c:v>
                </c:pt>
                <c:pt idx="2">
                  <c:v>1539</c:v>
                </c:pt>
                <c:pt idx="3">
                  <c:v>1793.7</c:v>
                </c:pt>
                <c:pt idx="4">
                  <c:v>1612.8</c:v>
                </c:pt>
                <c:pt idx="5">
                  <c:v>1450.8</c:v>
                </c:pt>
                <c:pt idx="6">
                  <c:v>1377</c:v>
                </c:pt>
                <c:pt idx="7">
                  <c:v>1448.1000000000001</c:v>
                </c:pt>
                <c:pt idx="8">
                  <c:v>1300.5</c:v>
                </c:pt>
                <c:pt idx="9">
                  <c:v>1145.7</c:v>
                </c:pt>
                <c:pt idx="10">
                  <c:v>1143</c:v>
                </c:pt>
                <c:pt idx="11">
                  <c:v>1369.8</c:v>
                </c:pt>
              </c:numCache>
            </c:numRef>
          </c:val>
          <c:smooth val="0"/>
          <c:extLst>
            <c:ext xmlns:c16="http://schemas.microsoft.com/office/drawing/2014/chart" uri="{C3380CC4-5D6E-409C-BE32-E72D297353CC}">
              <c16:uniqueId val="{00000003-33BD-4422-A787-02E1B8A68647}"/>
            </c:ext>
          </c:extLst>
        </c:ser>
        <c:dLbls>
          <c:showLegendKey val="0"/>
          <c:showVal val="0"/>
          <c:showCatName val="0"/>
          <c:showSerName val="0"/>
          <c:showPercent val="0"/>
          <c:showBubbleSize val="0"/>
        </c:dLbls>
        <c:marker val="1"/>
        <c:smooth val="0"/>
        <c:axId val="223250160"/>
        <c:axId val="223099056"/>
      </c:lineChart>
      <c:catAx>
        <c:axId val="223250160"/>
        <c:scaling>
          <c:orientation val="minMax"/>
        </c:scaling>
        <c:delete val="0"/>
        <c:axPos val="b"/>
        <c:numFmt formatCode="General" sourceLinked="0"/>
        <c:majorTickMark val="out"/>
        <c:minorTickMark val="none"/>
        <c:tickLblPos val="nextTo"/>
        <c:txPr>
          <a:bodyPr/>
          <a:lstStyle/>
          <a:p>
            <a:pPr>
              <a:defRPr sz="800"/>
            </a:pPr>
            <a:endParaRPr lang="en-US"/>
          </a:p>
        </c:txPr>
        <c:crossAx val="223099056"/>
        <c:crosses val="autoZero"/>
        <c:auto val="1"/>
        <c:lblAlgn val="ctr"/>
        <c:lblOffset val="100"/>
        <c:noMultiLvlLbl val="0"/>
      </c:catAx>
      <c:valAx>
        <c:axId val="223099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5016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218883729399974E-2"/>
          <c:y val="3.2298858792408514E-2"/>
          <c:w val="0.93295665692096541"/>
          <c:h val="0.8017195272647859"/>
        </c:manualLayout>
      </c:layout>
      <c:barChart>
        <c:barDir val="col"/>
        <c:grouping val="clustered"/>
        <c:varyColors val="0"/>
        <c:ser>
          <c:idx val="3"/>
          <c:order val="3"/>
          <c:tx>
            <c:strRef>
              <c:f>'Further Analysis Sheet'!$C$17</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Sheet'!$D$17:$O$17</c:f>
              <c:numCache>
                <c:formatCode>General</c:formatCode>
                <c:ptCount val="12"/>
                <c:pt idx="0">
                  <c:v>612</c:v>
                </c:pt>
                <c:pt idx="1">
                  <c:v>665</c:v>
                </c:pt>
                <c:pt idx="2">
                  <c:v>750</c:v>
                </c:pt>
                <c:pt idx="3">
                  <c:v>420</c:v>
                </c:pt>
                <c:pt idx="4">
                  <c:v>471</c:v>
                </c:pt>
                <c:pt idx="5">
                  <c:v>436</c:v>
                </c:pt>
                <c:pt idx="6">
                  <c:v>414</c:v>
                </c:pt>
                <c:pt idx="7">
                  <c:v>394</c:v>
                </c:pt>
                <c:pt idx="8">
                  <c:v>271</c:v>
                </c:pt>
                <c:pt idx="9">
                  <c:v>0</c:v>
                </c:pt>
                <c:pt idx="10">
                  <c:v>0</c:v>
                </c:pt>
                <c:pt idx="11">
                  <c:v>0</c:v>
                </c:pt>
              </c:numCache>
            </c:numRef>
          </c:val>
          <c:extLst>
            <c:ext xmlns:c16="http://schemas.microsoft.com/office/drawing/2014/chart" uri="{C3380CC4-5D6E-409C-BE32-E72D297353CC}">
              <c16:uniqueId val="{00000000-7E35-4BB1-BB30-B6458DEA51CB}"/>
            </c:ext>
          </c:extLst>
        </c:ser>
        <c:dLbls>
          <c:showLegendKey val="0"/>
          <c:showVal val="0"/>
          <c:showCatName val="0"/>
          <c:showSerName val="0"/>
          <c:showPercent val="0"/>
          <c:showBubbleSize val="0"/>
        </c:dLbls>
        <c:gapWidth val="60"/>
        <c:axId val="219092640"/>
        <c:axId val="120507544"/>
      </c:barChart>
      <c:lineChart>
        <c:grouping val="standard"/>
        <c:varyColors val="0"/>
        <c:ser>
          <c:idx val="0"/>
          <c:order val="0"/>
          <c:tx>
            <c:strRef>
              <c:f>'Further Analysis Sheet'!$C$14</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Sheet'!$D$14:$O$14</c:f>
              <c:numCache>
                <c:formatCode>General</c:formatCode>
                <c:ptCount val="12"/>
                <c:pt idx="0">
                  <c:v>806</c:v>
                </c:pt>
                <c:pt idx="1">
                  <c:v>739</c:v>
                </c:pt>
                <c:pt idx="2">
                  <c:v>739</c:v>
                </c:pt>
                <c:pt idx="3">
                  <c:v>882</c:v>
                </c:pt>
                <c:pt idx="4">
                  <c:v>692</c:v>
                </c:pt>
                <c:pt idx="5">
                  <c:v>556</c:v>
                </c:pt>
                <c:pt idx="6">
                  <c:v>506</c:v>
                </c:pt>
                <c:pt idx="7">
                  <c:v>581</c:v>
                </c:pt>
                <c:pt idx="8">
                  <c:v>349</c:v>
                </c:pt>
                <c:pt idx="9">
                  <c:v>388</c:v>
                </c:pt>
                <c:pt idx="10">
                  <c:v>371</c:v>
                </c:pt>
                <c:pt idx="11">
                  <c:v>560</c:v>
                </c:pt>
              </c:numCache>
            </c:numRef>
          </c:val>
          <c:smooth val="0"/>
          <c:extLst>
            <c:ext xmlns:c16="http://schemas.microsoft.com/office/drawing/2014/chart" uri="{C3380CC4-5D6E-409C-BE32-E72D297353CC}">
              <c16:uniqueId val="{00000001-7E35-4BB1-BB30-B6458DEA51CB}"/>
            </c:ext>
          </c:extLst>
        </c:ser>
        <c:ser>
          <c:idx val="1"/>
          <c:order val="1"/>
          <c:tx>
            <c:strRef>
              <c:f>'Further Analysis Sheet'!$C$15</c:f>
              <c:strCache>
                <c:ptCount val="1"/>
                <c:pt idx="0">
                  <c:v>Target +10%</c:v>
                </c:pt>
              </c:strCache>
            </c:strRef>
          </c:tx>
          <c:spPr>
            <a:ln>
              <a:solidFill>
                <a:srgbClr val="C0000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Sheet'!$D$15:$O$15</c:f>
              <c:numCache>
                <c:formatCode>General</c:formatCode>
                <c:ptCount val="12"/>
                <c:pt idx="0">
                  <c:v>886.6</c:v>
                </c:pt>
                <c:pt idx="1">
                  <c:v>812.90000000000009</c:v>
                </c:pt>
                <c:pt idx="2">
                  <c:v>812.90000000000009</c:v>
                </c:pt>
                <c:pt idx="3">
                  <c:v>970.2</c:v>
                </c:pt>
                <c:pt idx="4">
                  <c:v>761.2</c:v>
                </c:pt>
                <c:pt idx="5">
                  <c:v>611.6</c:v>
                </c:pt>
                <c:pt idx="6">
                  <c:v>556.6</c:v>
                </c:pt>
                <c:pt idx="7">
                  <c:v>639.1</c:v>
                </c:pt>
                <c:pt idx="8">
                  <c:v>383.90000000000003</c:v>
                </c:pt>
                <c:pt idx="9">
                  <c:v>426.8</c:v>
                </c:pt>
                <c:pt idx="10">
                  <c:v>408.1</c:v>
                </c:pt>
                <c:pt idx="11">
                  <c:v>616</c:v>
                </c:pt>
              </c:numCache>
            </c:numRef>
          </c:val>
          <c:smooth val="0"/>
          <c:extLst>
            <c:ext xmlns:c16="http://schemas.microsoft.com/office/drawing/2014/chart" uri="{C3380CC4-5D6E-409C-BE32-E72D297353CC}">
              <c16:uniqueId val="{00000002-7E35-4BB1-BB30-B6458DEA51CB}"/>
            </c:ext>
          </c:extLst>
        </c:ser>
        <c:ser>
          <c:idx val="2"/>
          <c:order val="2"/>
          <c:tx>
            <c:strRef>
              <c:f>'Further Analysis Sheet'!$C$16</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Sheet'!$D$16:$O$16</c:f>
              <c:numCache>
                <c:formatCode>General</c:formatCode>
                <c:ptCount val="12"/>
                <c:pt idx="0">
                  <c:v>725.4</c:v>
                </c:pt>
                <c:pt idx="1">
                  <c:v>665.1</c:v>
                </c:pt>
                <c:pt idx="2">
                  <c:v>665.1</c:v>
                </c:pt>
                <c:pt idx="3">
                  <c:v>793.80000000000007</c:v>
                </c:pt>
                <c:pt idx="4">
                  <c:v>622.80000000000007</c:v>
                </c:pt>
                <c:pt idx="5">
                  <c:v>500.40000000000003</c:v>
                </c:pt>
                <c:pt idx="6">
                  <c:v>455.40000000000003</c:v>
                </c:pt>
                <c:pt idx="7">
                  <c:v>522.9</c:v>
                </c:pt>
                <c:pt idx="8">
                  <c:v>314.10000000000002</c:v>
                </c:pt>
                <c:pt idx="9">
                  <c:v>349.2</c:v>
                </c:pt>
                <c:pt idx="10">
                  <c:v>333.90000000000003</c:v>
                </c:pt>
                <c:pt idx="11">
                  <c:v>504</c:v>
                </c:pt>
              </c:numCache>
            </c:numRef>
          </c:val>
          <c:smooth val="0"/>
          <c:extLst>
            <c:ext xmlns:c16="http://schemas.microsoft.com/office/drawing/2014/chart" uri="{C3380CC4-5D6E-409C-BE32-E72D297353CC}">
              <c16:uniqueId val="{00000003-7E35-4BB1-BB30-B6458DEA51CB}"/>
            </c:ext>
          </c:extLst>
        </c:ser>
        <c:dLbls>
          <c:showLegendKey val="0"/>
          <c:showVal val="0"/>
          <c:showCatName val="0"/>
          <c:showSerName val="0"/>
          <c:showPercent val="0"/>
          <c:showBubbleSize val="0"/>
        </c:dLbls>
        <c:marker val="1"/>
        <c:smooth val="0"/>
        <c:axId val="219092640"/>
        <c:axId val="120507544"/>
      </c:lineChart>
      <c:catAx>
        <c:axId val="219092640"/>
        <c:scaling>
          <c:orientation val="minMax"/>
        </c:scaling>
        <c:delete val="0"/>
        <c:axPos val="b"/>
        <c:numFmt formatCode="General" sourceLinked="0"/>
        <c:majorTickMark val="out"/>
        <c:minorTickMark val="none"/>
        <c:tickLblPos val="nextTo"/>
        <c:txPr>
          <a:bodyPr/>
          <a:lstStyle/>
          <a:p>
            <a:pPr>
              <a:defRPr sz="800"/>
            </a:pPr>
            <a:endParaRPr lang="en-US"/>
          </a:p>
        </c:txPr>
        <c:crossAx val="120507544"/>
        <c:crosses val="autoZero"/>
        <c:auto val="1"/>
        <c:lblAlgn val="ctr"/>
        <c:lblOffset val="100"/>
        <c:noMultiLvlLbl val="0"/>
      </c:catAx>
      <c:valAx>
        <c:axId val="12050754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190926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1596035624078976E-2"/>
          <c:y val="3.7280095574972472E-2"/>
          <c:w val="0.93504844186807223"/>
          <c:h val="0.81778795474243937"/>
        </c:manualLayout>
      </c:layout>
      <c:lineChart>
        <c:grouping val="standard"/>
        <c:varyColors val="0"/>
        <c:ser>
          <c:idx val="0"/>
          <c:order val="0"/>
          <c:tx>
            <c:strRef>
              <c:f>'Further Analysis Sheet'!$T$14</c:f>
              <c:strCache>
                <c:ptCount val="1"/>
                <c:pt idx="0">
                  <c:v>Target</c:v>
                </c:pt>
              </c:strCache>
            </c:strRef>
          </c:tx>
          <c:spPr>
            <a:ln>
              <a:solidFill>
                <a:srgbClr val="00B05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Sheet'!$U$14:$AF$14</c:f>
              <c:numCache>
                <c:formatCode>General</c:formatCode>
                <c:ptCount val="12"/>
                <c:pt idx="0">
                  <c:v>806</c:v>
                </c:pt>
                <c:pt idx="1">
                  <c:v>1545</c:v>
                </c:pt>
                <c:pt idx="2">
                  <c:v>2284</c:v>
                </c:pt>
                <c:pt idx="3">
                  <c:v>3166</c:v>
                </c:pt>
                <c:pt idx="4">
                  <c:v>3858</c:v>
                </c:pt>
                <c:pt idx="5">
                  <c:v>4414</c:v>
                </c:pt>
                <c:pt idx="6">
                  <c:v>4920</c:v>
                </c:pt>
                <c:pt idx="7">
                  <c:v>5501</c:v>
                </c:pt>
                <c:pt idx="8">
                  <c:v>5850</c:v>
                </c:pt>
                <c:pt idx="9">
                  <c:v>6238</c:v>
                </c:pt>
                <c:pt idx="10">
                  <c:v>6609</c:v>
                </c:pt>
                <c:pt idx="11">
                  <c:v>7169</c:v>
                </c:pt>
              </c:numCache>
            </c:numRef>
          </c:val>
          <c:smooth val="0"/>
          <c:extLst>
            <c:ext xmlns:c16="http://schemas.microsoft.com/office/drawing/2014/chart" uri="{C3380CC4-5D6E-409C-BE32-E72D297353CC}">
              <c16:uniqueId val="{00000000-953C-41BF-A04B-077940FED630}"/>
            </c:ext>
          </c:extLst>
        </c:ser>
        <c:ser>
          <c:idx val="1"/>
          <c:order val="1"/>
          <c:tx>
            <c:strRef>
              <c:f>'Further Analysis Sheet'!$T$15</c:f>
              <c:strCache>
                <c:ptCount val="1"/>
                <c:pt idx="0">
                  <c:v>Target +10%</c:v>
                </c:pt>
              </c:strCache>
            </c:strRef>
          </c:tx>
          <c:spPr>
            <a:ln>
              <a:solidFill>
                <a:srgbClr val="C0000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Sheet'!$U$15:$AF$15</c:f>
              <c:numCache>
                <c:formatCode>General</c:formatCode>
                <c:ptCount val="12"/>
                <c:pt idx="0">
                  <c:v>886.6</c:v>
                </c:pt>
                <c:pt idx="1">
                  <c:v>1699.5</c:v>
                </c:pt>
                <c:pt idx="2">
                  <c:v>2512.4</c:v>
                </c:pt>
                <c:pt idx="3">
                  <c:v>3482.6000000000004</c:v>
                </c:pt>
                <c:pt idx="4">
                  <c:v>4243.8</c:v>
                </c:pt>
                <c:pt idx="5">
                  <c:v>4855.4000000000005</c:v>
                </c:pt>
                <c:pt idx="6">
                  <c:v>5412.0000000000009</c:v>
                </c:pt>
                <c:pt idx="7">
                  <c:v>6051.1000000000013</c:v>
                </c:pt>
                <c:pt idx="8">
                  <c:v>6435.0000000000009</c:v>
                </c:pt>
                <c:pt idx="9">
                  <c:v>6861.8000000000011</c:v>
                </c:pt>
                <c:pt idx="10">
                  <c:v>7269.9000000000015</c:v>
                </c:pt>
                <c:pt idx="11">
                  <c:v>7885.9000000000015</c:v>
                </c:pt>
              </c:numCache>
            </c:numRef>
          </c:val>
          <c:smooth val="0"/>
          <c:extLst>
            <c:ext xmlns:c16="http://schemas.microsoft.com/office/drawing/2014/chart" uri="{C3380CC4-5D6E-409C-BE32-E72D297353CC}">
              <c16:uniqueId val="{00000001-953C-41BF-A04B-077940FED630}"/>
            </c:ext>
          </c:extLst>
        </c:ser>
        <c:ser>
          <c:idx val="2"/>
          <c:order val="2"/>
          <c:tx>
            <c:strRef>
              <c:f>'Further Analysis Sheet'!$T$16</c:f>
              <c:strCache>
                <c:ptCount val="1"/>
                <c:pt idx="0">
                  <c:v>Target -10%</c:v>
                </c:pt>
              </c:strCache>
            </c:strRef>
          </c:tx>
          <c:spPr>
            <a:ln>
              <a:solidFill>
                <a:srgbClr val="7030A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Sheet'!$U$16:$AF$16</c:f>
              <c:numCache>
                <c:formatCode>General</c:formatCode>
                <c:ptCount val="12"/>
                <c:pt idx="0">
                  <c:v>725.4</c:v>
                </c:pt>
                <c:pt idx="1">
                  <c:v>1390.5</c:v>
                </c:pt>
                <c:pt idx="2">
                  <c:v>2055.6</c:v>
                </c:pt>
                <c:pt idx="3">
                  <c:v>2849.4</c:v>
                </c:pt>
                <c:pt idx="4">
                  <c:v>3472.2000000000003</c:v>
                </c:pt>
                <c:pt idx="5">
                  <c:v>3972.6000000000004</c:v>
                </c:pt>
                <c:pt idx="6">
                  <c:v>4428</c:v>
                </c:pt>
                <c:pt idx="7">
                  <c:v>4950.8999999999996</c:v>
                </c:pt>
                <c:pt idx="8">
                  <c:v>5265</c:v>
                </c:pt>
                <c:pt idx="9">
                  <c:v>5614.2</c:v>
                </c:pt>
                <c:pt idx="10">
                  <c:v>5948.0999999999995</c:v>
                </c:pt>
                <c:pt idx="11">
                  <c:v>6452.0999999999995</c:v>
                </c:pt>
              </c:numCache>
            </c:numRef>
          </c:val>
          <c:smooth val="0"/>
          <c:extLst>
            <c:ext xmlns:c16="http://schemas.microsoft.com/office/drawing/2014/chart" uri="{C3380CC4-5D6E-409C-BE32-E72D297353CC}">
              <c16:uniqueId val="{00000002-953C-41BF-A04B-077940FED630}"/>
            </c:ext>
          </c:extLst>
        </c:ser>
        <c:ser>
          <c:idx val="3"/>
          <c:order val="3"/>
          <c:tx>
            <c:strRef>
              <c:f>'Further Analysis Sheet'!$T$17</c:f>
              <c:strCache>
                <c:ptCount val="1"/>
                <c:pt idx="0">
                  <c:v>Performance</c:v>
                </c:pt>
              </c:strCache>
            </c:strRef>
          </c:tx>
          <c:spPr>
            <a:ln>
              <a:solidFill>
                <a:schemeClr val="tx1"/>
              </a:solidFill>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Sheet'!$U$17:$AF$17</c:f>
              <c:numCache>
                <c:formatCode>General</c:formatCode>
                <c:ptCount val="12"/>
                <c:pt idx="0">
                  <c:v>612</c:v>
                </c:pt>
                <c:pt idx="1">
                  <c:v>1277</c:v>
                </c:pt>
                <c:pt idx="2">
                  <c:v>2027</c:v>
                </c:pt>
                <c:pt idx="3">
                  <c:v>2447</c:v>
                </c:pt>
                <c:pt idx="4">
                  <c:v>2918</c:v>
                </c:pt>
                <c:pt idx="5">
                  <c:v>3354</c:v>
                </c:pt>
                <c:pt idx="6">
                  <c:v>3768</c:v>
                </c:pt>
                <c:pt idx="7">
                  <c:v>4162</c:v>
                </c:pt>
                <c:pt idx="8">
                  <c:v>4433</c:v>
                </c:pt>
                <c:pt idx="9">
                  <c:v>4433</c:v>
                </c:pt>
                <c:pt idx="10">
                  <c:v>4433</c:v>
                </c:pt>
                <c:pt idx="11">
                  <c:v>4433</c:v>
                </c:pt>
              </c:numCache>
            </c:numRef>
          </c:val>
          <c:smooth val="0"/>
          <c:extLst>
            <c:ext xmlns:c16="http://schemas.microsoft.com/office/drawing/2014/chart" uri="{C3380CC4-5D6E-409C-BE32-E72D297353CC}">
              <c16:uniqueId val="{00000003-953C-41BF-A04B-077940FED630}"/>
            </c:ext>
          </c:extLst>
        </c:ser>
        <c:dLbls>
          <c:showLegendKey val="0"/>
          <c:showVal val="0"/>
          <c:showCatName val="0"/>
          <c:showSerName val="0"/>
          <c:showPercent val="0"/>
          <c:showBubbleSize val="0"/>
        </c:dLbls>
        <c:smooth val="0"/>
        <c:axId val="221570816"/>
        <c:axId val="223268304"/>
      </c:lineChart>
      <c:catAx>
        <c:axId val="221570816"/>
        <c:scaling>
          <c:orientation val="minMax"/>
        </c:scaling>
        <c:delete val="0"/>
        <c:axPos val="b"/>
        <c:numFmt formatCode="General" sourceLinked="0"/>
        <c:majorTickMark val="out"/>
        <c:minorTickMark val="none"/>
        <c:tickLblPos val="nextTo"/>
        <c:txPr>
          <a:bodyPr/>
          <a:lstStyle/>
          <a:p>
            <a:pPr>
              <a:defRPr sz="800"/>
            </a:pPr>
            <a:endParaRPr lang="en-US"/>
          </a:p>
        </c:txPr>
        <c:crossAx val="223268304"/>
        <c:crosses val="autoZero"/>
        <c:auto val="1"/>
        <c:lblAlgn val="ctr"/>
        <c:lblOffset val="100"/>
        <c:noMultiLvlLbl val="0"/>
      </c:catAx>
      <c:valAx>
        <c:axId val="2232683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1570816"/>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2.723379168716375E-2"/>
          <c:w val="0.93933115488246144"/>
          <c:h val="0.8277046389780347"/>
        </c:manualLayout>
      </c:layout>
      <c:lineChart>
        <c:grouping val="standard"/>
        <c:varyColors val="0"/>
        <c:ser>
          <c:idx val="0"/>
          <c:order val="0"/>
          <c:tx>
            <c:strRef>
              <c:f>'Further Analysis Sheet'!$T$19</c:f>
              <c:strCache>
                <c:ptCount val="1"/>
                <c:pt idx="0">
                  <c:v>Target</c:v>
                </c:pt>
              </c:strCache>
            </c:strRef>
          </c:tx>
          <c:spPr>
            <a:ln>
              <a:solidFill>
                <a:srgbClr val="00B05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Sheet'!$U$19:$AF$19</c:f>
              <c:numCache>
                <c:formatCode>General</c:formatCode>
                <c:ptCount val="12"/>
                <c:pt idx="0">
                  <c:v>184</c:v>
                </c:pt>
                <c:pt idx="1">
                  <c:v>362</c:v>
                </c:pt>
                <c:pt idx="2">
                  <c:v>533</c:v>
                </c:pt>
                <c:pt idx="3">
                  <c:v>706</c:v>
                </c:pt>
                <c:pt idx="4">
                  <c:v>865</c:v>
                </c:pt>
                <c:pt idx="5">
                  <c:v>1020</c:v>
                </c:pt>
                <c:pt idx="6">
                  <c:v>1181</c:v>
                </c:pt>
                <c:pt idx="7">
                  <c:v>1349</c:v>
                </c:pt>
                <c:pt idx="8">
                  <c:v>1497</c:v>
                </c:pt>
                <c:pt idx="9">
                  <c:v>1661</c:v>
                </c:pt>
                <c:pt idx="10">
                  <c:v>1805</c:v>
                </c:pt>
                <c:pt idx="11">
                  <c:v>1983</c:v>
                </c:pt>
              </c:numCache>
            </c:numRef>
          </c:val>
          <c:smooth val="0"/>
          <c:extLst>
            <c:ext xmlns:c16="http://schemas.microsoft.com/office/drawing/2014/chart" uri="{C3380CC4-5D6E-409C-BE32-E72D297353CC}">
              <c16:uniqueId val="{00000000-110B-40DB-B01E-A57C6AC9DC7A}"/>
            </c:ext>
          </c:extLst>
        </c:ser>
        <c:ser>
          <c:idx val="1"/>
          <c:order val="1"/>
          <c:tx>
            <c:strRef>
              <c:f>'Further Analysis Sheet'!$T$20</c:f>
              <c:strCache>
                <c:ptCount val="1"/>
                <c:pt idx="0">
                  <c:v>Target +10%</c:v>
                </c:pt>
              </c:strCache>
            </c:strRef>
          </c:tx>
          <c:spPr>
            <a:ln>
              <a:solidFill>
                <a:srgbClr val="C0000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Sheet'!$U$20:$AF$20</c:f>
              <c:numCache>
                <c:formatCode>General</c:formatCode>
                <c:ptCount val="12"/>
                <c:pt idx="0">
                  <c:v>202.4</c:v>
                </c:pt>
                <c:pt idx="1">
                  <c:v>398.20000000000005</c:v>
                </c:pt>
                <c:pt idx="2">
                  <c:v>586.30000000000007</c:v>
                </c:pt>
                <c:pt idx="3">
                  <c:v>776.60000000000014</c:v>
                </c:pt>
                <c:pt idx="4">
                  <c:v>951.50000000000011</c:v>
                </c:pt>
                <c:pt idx="5">
                  <c:v>1122</c:v>
                </c:pt>
                <c:pt idx="6">
                  <c:v>1299.0999999999999</c:v>
                </c:pt>
                <c:pt idx="7">
                  <c:v>1483.8999999999999</c:v>
                </c:pt>
                <c:pt idx="8">
                  <c:v>1646.6999999999998</c:v>
                </c:pt>
                <c:pt idx="9">
                  <c:v>1827.1</c:v>
                </c:pt>
                <c:pt idx="10">
                  <c:v>1985.5</c:v>
                </c:pt>
                <c:pt idx="11">
                  <c:v>2181.3000000000002</c:v>
                </c:pt>
              </c:numCache>
            </c:numRef>
          </c:val>
          <c:smooth val="0"/>
          <c:extLst>
            <c:ext xmlns:c16="http://schemas.microsoft.com/office/drawing/2014/chart" uri="{C3380CC4-5D6E-409C-BE32-E72D297353CC}">
              <c16:uniqueId val="{00000001-110B-40DB-B01E-A57C6AC9DC7A}"/>
            </c:ext>
          </c:extLst>
        </c:ser>
        <c:ser>
          <c:idx val="2"/>
          <c:order val="2"/>
          <c:tx>
            <c:strRef>
              <c:f>'Further Analysis Sheet'!$T$21</c:f>
              <c:strCache>
                <c:ptCount val="1"/>
                <c:pt idx="0">
                  <c:v>Target -10%</c:v>
                </c:pt>
              </c:strCache>
            </c:strRef>
          </c:tx>
          <c:spPr>
            <a:ln>
              <a:solidFill>
                <a:srgbClr val="7030A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Sheet'!$U$21:$AF$21</c:f>
              <c:numCache>
                <c:formatCode>General</c:formatCode>
                <c:ptCount val="12"/>
                <c:pt idx="0">
                  <c:v>165.6</c:v>
                </c:pt>
                <c:pt idx="1">
                  <c:v>325.8</c:v>
                </c:pt>
                <c:pt idx="2">
                  <c:v>479.70000000000005</c:v>
                </c:pt>
                <c:pt idx="3">
                  <c:v>635.40000000000009</c:v>
                </c:pt>
                <c:pt idx="4">
                  <c:v>778.50000000000011</c:v>
                </c:pt>
                <c:pt idx="5">
                  <c:v>918.00000000000011</c:v>
                </c:pt>
                <c:pt idx="6">
                  <c:v>1062.9000000000001</c:v>
                </c:pt>
                <c:pt idx="7">
                  <c:v>1214.1000000000001</c:v>
                </c:pt>
                <c:pt idx="8">
                  <c:v>1347.3000000000002</c:v>
                </c:pt>
                <c:pt idx="9">
                  <c:v>1494.9</c:v>
                </c:pt>
                <c:pt idx="10">
                  <c:v>1624.5</c:v>
                </c:pt>
                <c:pt idx="11">
                  <c:v>1784.7</c:v>
                </c:pt>
              </c:numCache>
            </c:numRef>
          </c:val>
          <c:smooth val="0"/>
          <c:extLst>
            <c:ext xmlns:c16="http://schemas.microsoft.com/office/drawing/2014/chart" uri="{C3380CC4-5D6E-409C-BE32-E72D297353CC}">
              <c16:uniqueId val="{00000002-110B-40DB-B01E-A57C6AC9DC7A}"/>
            </c:ext>
          </c:extLst>
        </c:ser>
        <c:ser>
          <c:idx val="3"/>
          <c:order val="3"/>
          <c:tx>
            <c:strRef>
              <c:f>'Further Analysis Sheet'!$T$22</c:f>
              <c:strCache>
                <c:ptCount val="1"/>
                <c:pt idx="0">
                  <c:v>Performance</c:v>
                </c:pt>
              </c:strCache>
            </c:strRef>
          </c:tx>
          <c:spPr>
            <a:ln>
              <a:solidFill>
                <a:schemeClr val="tx1"/>
              </a:solidFill>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Sheet'!$U$22:$AF$22</c:f>
              <c:numCache>
                <c:formatCode>General</c:formatCode>
                <c:ptCount val="12"/>
                <c:pt idx="0">
                  <c:v>134</c:v>
                </c:pt>
                <c:pt idx="1">
                  <c:v>272</c:v>
                </c:pt>
                <c:pt idx="2">
                  <c:v>426</c:v>
                </c:pt>
                <c:pt idx="3">
                  <c:v>559</c:v>
                </c:pt>
                <c:pt idx="4">
                  <c:v>717</c:v>
                </c:pt>
                <c:pt idx="5">
                  <c:v>845</c:v>
                </c:pt>
                <c:pt idx="6">
                  <c:v>970</c:v>
                </c:pt>
                <c:pt idx="7">
                  <c:v>1117</c:v>
                </c:pt>
                <c:pt idx="8">
                  <c:v>1268</c:v>
                </c:pt>
                <c:pt idx="9">
                  <c:v>1268</c:v>
                </c:pt>
                <c:pt idx="10">
                  <c:v>1268</c:v>
                </c:pt>
                <c:pt idx="11">
                  <c:v>1268</c:v>
                </c:pt>
              </c:numCache>
            </c:numRef>
          </c:val>
          <c:smooth val="0"/>
          <c:extLst>
            <c:ext xmlns:c16="http://schemas.microsoft.com/office/drawing/2014/chart" uri="{C3380CC4-5D6E-409C-BE32-E72D297353CC}">
              <c16:uniqueId val="{00000003-110B-40DB-B01E-A57C6AC9DC7A}"/>
            </c:ext>
          </c:extLst>
        </c:ser>
        <c:dLbls>
          <c:showLegendKey val="0"/>
          <c:showVal val="0"/>
          <c:showCatName val="0"/>
          <c:showSerName val="0"/>
          <c:showPercent val="0"/>
          <c:showBubbleSize val="0"/>
        </c:dLbls>
        <c:smooth val="0"/>
        <c:axId val="223248984"/>
        <c:axId val="223249376"/>
      </c:lineChart>
      <c:catAx>
        <c:axId val="223248984"/>
        <c:scaling>
          <c:orientation val="minMax"/>
        </c:scaling>
        <c:delete val="0"/>
        <c:axPos val="b"/>
        <c:numFmt formatCode="General" sourceLinked="0"/>
        <c:majorTickMark val="out"/>
        <c:minorTickMark val="none"/>
        <c:tickLblPos val="nextTo"/>
        <c:txPr>
          <a:bodyPr/>
          <a:lstStyle/>
          <a:p>
            <a:pPr>
              <a:defRPr sz="800"/>
            </a:pPr>
            <a:endParaRPr lang="en-US"/>
          </a:p>
        </c:txPr>
        <c:crossAx val="223249376"/>
        <c:crosses val="autoZero"/>
        <c:auto val="1"/>
        <c:lblAlgn val="ctr"/>
        <c:lblOffset val="100"/>
        <c:noMultiLvlLbl val="0"/>
      </c:catAx>
      <c:valAx>
        <c:axId val="22324937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98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284379209736688E-2"/>
          <c:y val="4.223531432765662E-2"/>
          <c:w val="0.95971562079026329"/>
          <c:h val="0.79443884841528267"/>
        </c:manualLayout>
      </c:layout>
      <c:barChart>
        <c:barDir val="col"/>
        <c:grouping val="clustered"/>
        <c:varyColors val="0"/>
        <c:ser>
          <c:idx val="3"/>
          <c:order val="3"/>
          <c:tx>
            <c:strRef>
              <c:f>'Further Analysis Sheet'!$C$67</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Sheet'!$D$67:$O$67</c:f>
              <c:numCache>
                <c:formatCode>General</c:formatCode>
                <c:ptCount val="12"/>
                <c:pt idx="0">
                  <c:v>9</c:v>
                </c:pt>
                <c:pt idx="1">
                  <c:v>5</c:v>
                </c:pt>
                <c:pt idx="2">
                  <c:v>11</c:v>
                </c:pt>
                <c:pt idx="3">
                  <c:v>12</c:v>
                </c:pt>
                <c:pt idx="4">
                  <c:v>18</c:v>
                </c:pt>
                <c:pt idx="5">
                  <c:v>10</c:v>
                </c:pt>
                <c:pt idx="6">
                  <c:v>8</c:v>
                </c:pt>
                <c:pt idx="7">
                  <c:v>17</c:v>
                </c:pt>
                <c:pt idx="8">
                  <c:v>8</c:v>
                </c:pt>
                <c:pt idx="9">
                  <c:v>0</c:v>
                </c:pt>
                <c:pt idx="10">
                  <c:v>0</c:v>
                </c:pt>
                <c:pt idx="11">
                  <c:v>0</c:v>
                </c:pt>
              </c:numCache>
            </c:numRef>
          </c:val>
          <c:extLst>
            <c:ext xmlns:c16="http://schemas.microsoft.com/office/drawing/2014/chart" uri="{C3380CC4-5D6E-409C-BE32-E72D297353CC}">
              <c16:uniqueId val="{00000000-2F1C-4CF7-8A13-213C85DF412F}"/>
            </c:ext>
          </c:extLst>
        </c:ser>
        <c:dLbls>
          <c:showLegendKey val="0"/>
          <c:showVal val="0"/>
          <c:showCatName val="0"/>
          <c:showSerName val="0"/>
          <c:showPercent val="0"/>
          <c:showBubbleSize val="0"/>
        </c:dLbls>
        <c:gapWidth val="60"/>
        <c:axId val="249084112"/>
        <c:axId val="249084504"/>
      </c:barChart>
      <c:lineChart>
        <c:grouping val="standard"/>
        <c:varyColors val="0"/>
        <c:ser>
          <c:idx val="0"/>
          <c:order val="0"/>
          <c:tx>
            <c:strRef>
              <c:f>'Further Analysis Sheet'!$C$64</c:f>
              <c:strCache>
                <c:ptCount val="1"/>
                <c:pt idx="0">
                  <c:v>Target</c:v>
                </c:pt>
              </c:strCache>
            </c:strRef>
          </c:tx>
          <c:spPr>
            <a:ln>
              <a:solidFill>
                <a:srgbClr val="00B05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Sheet'!$D$64:$O$64</c:f>
              <c:numCache>
                <c:formatCode>General</c:formatCode>
                <c:ptCount val="12"/>
                <c:pt idx="0">
                  <c:v>8</c:v>
                </c:pt>
                <c:pt idx="1">
                  <c:v>14</c:v>
                </c:pt>
                <c:pt idx="2">
                  <c:v>9</c:v>
                </c:pt>
                <c:pt idx="3">
                  <c:v>13</c:v>
                </c:pt>
                <c:pt idx="4">
                  <c:v>10</c:v>
                </c:pt>
                <c:pt idx="5">
                  <c:v>8</c:v>
                </c:pt>
                <c:pt idx="6">
                  <c:v>11</c:v>
                </c:pt>
                <c:pt idx="7">
                  <c:v>12</c:v>
                </c:pt>
                <c:pt idx="8">
                  <c:v>10</c:v>
                </c:pt>
                <c:pt idx="9">
                  <c:v>10</c:v>
                </c:pt>
                <c:pt idx="10">
                  <c:v>9</c:v>
                </c:pt>
                <c:pt idx="11">
                  <c:v>11</c:v>
                </c:pt>
              </c:numCache>
            </c:numRef>
          </c:val>
          <c:smooth val="0"/>
          <c:extLst>
            <c:ext xmlns:c16="http://schemas.microsoft.com/office/drawing/2014/chart" uri="{C3380CC4-5D6E-409C-BE32-E72D297353CC}">
              <c16:uniqueId val="{00000001-2F1C-4CF7-8A13-213C85DF412F}"/>
            </c:ext>
          </c:extLst>
        </c:ser>
        <c:ser>
          <c:idx val="1"/>
          <c:order val="1"/>
          <c:tx>
            <c:strRef>
              <c:f>'Further Analysis Sheet'!$C$65</c:f>
              <c:strCache>
                <c:ptCount val="1"/>
                <c:pt idx="0">
                  <c:v>Target +10%</c:v>
                </c:pt>
              </c:strCache>
            </c:strRef>
          </c:tx>
          <c:spPr>
            <a:ln>
              <a:solidFill>
                <a:srgbClr val="C0000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Sheet'!$D$65:$O$65</c:f>
              <c:numCache>
                <c:formatCode>General</c:formatCode>
                <c:ptCount val="12"/>
                <c:pt idx="0">
                  <c:v>8.8000000000000007</c:v>
                </c:pt>
                <c:pt idx="1">
                  <c:v>15.400000000000002</c:v>
                </c:pt>
                <c:pt idx="2">
                  <c:v>9.9</c:v>
                </c:pt>
                <c:pt idx="3">
                  <c:v>14.3</c:v>
                </c:pt>
                <c:pt idx="4">
                  <c:v>11</c:v>
                </c:pt>
                <c:pt idx="5">
                  <c:v>8.8000000000000007</c:v>
                </c:pt>
                <c:pt idx="6">
                  <c:v>12.100000000000001</c:v>
                </c:pt>
                <c:pt idx="7">
                  <c:v>13.200000000000001</c:v>
                </c:pt>
                <c:pt idx="8">
                  <c:v>11</c:v>
                </c:pt>
                <c:pt idx="9">
                  <c:v>11</c:v>
                </c:pt>
                <c:pt idx="10">
                  <c:v>9.9</c:v>
                </c:pt>
                <c:pt idx="11">
                  <c:v>12.100000000000001</c:v>
                </c:pt>
              </c:numCache>
            </c:numRef>
          </c:val>
          <c:smooth val="0"/>
          <c:extLst>
            <c:ext xmlns:c16="http://schemas.microsoft.com/office/drawing/2014/chart" uri="{C3380CC4-5D6E-409C-BE32-E72D297353CC}">
              <c16:uniqueId val="{00000002-2F1C-4CF7-8A13-213C85DF412F}"/>
            </c:ext>
          </c:extLst>
        </c:ser>
        <c:ser>
          <c:idx val="2"/>
          <c:order val="2"/>
          <c:tx>
            <c:strRef>
              <c:f>'Further Analysis Sheet'!$C$66</c:f>
              <c:strCache>
                <c:ptCount val="1"/>
                <c:pt idx="0">
                  <c:v>Target -10%</c:v>
                </c:pt>
              </c:strCache>
            </c:strRef>
          </c:tx>
          <c:spPr>
            <a:ln>
              <a:solidFill>
                <a:srgbClr val="7030A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Sheet'!$D$66:$O$66</c:f>
              <c:numCache>
                <c:formatCode>General</c:formatCode>
                <c:ptCount val="12"/>
                <c:pt idx="0">
                  <c:v>7.2</c:v>
                </c:pt>
                <c:pt idx="1">
                  <c:v>12.6</c:v>
                </c:pt>
                <c:pt idx="2">
                  <c:v>8.1</c:v>
                </c:pt>
                <c:pt idx="3">
                  <c:v>11.700000000000001</c:v>
                </c:pt>
                <c:pt idx="4">
                  <c:v>9</c:v>
                </c:pt>
                <c:pt idx="5">
                  <c:v>7.2</c:v>
                </c:pt>
                <c:pt idx="6">
                  <c:v>9.9</c:v>
                </c:pt>
                <c:pt idx="7">
                  <c:v>10.8</c:v>
                </c:pt>
                <c:pt idx="8">
                  <c:v>9</c:v>
                </c:pt>
                <c:pt idx="9">
                  <c:v>9</c:v>
                </c:pt>
                <c:pt idx="10">
                  <c:v>8.1</c:v>
                </c:pt>
                <c:pt idx="11">
                  <c:v>9.9</c:v>
                </c:pt>
              </c:numCache>
            </c:numRef>
          </c:val>
          <c:smooth val="0"/>
          <c:extLst>
            <c:ext xmlns:c16="http://schemas.microsoft.com/office/drawing/2014/chart" uri="{C3380CC4-5D6E-409C-BE32-E72D297353CC}">
              <c16:uniqueId val="{00000003-2F1C-4CF7-8A13-213C85DF412F}"/>
            </c:ext>
          </c:extLst>
        </c:ser>
        <c:dLbls>
          <c:showLegendKey val="0"/>
          <c:showVal val="0"/>
          <c:showCatName val="0"/>
          <c:showSerName val="0"/>
          <c:showPercent val="0"/>
          <c:showBubbleSize val="0"/>
        </c:dLbls>
        <c:marker val="1"/>
        <c:smooth val="0"/>
        <c:axId val="249084112"/>
        <c:axId val="249084504"/>
      </c:lineChart>
      <c:catAx>
        <c:axId val="249084112"/>
        <c:scaling>
          <c:orientation val="minMax"/>
        </c:scaling>
        <c:delete val="0"/>
        <c:axPos val="b"/>
        <c:numFmt formatCode="General" sourceLinked="0"/>
        <c:majorTickMark val="out"/>
        <c:minorTickMark val="none"/>
        <c:tickLblPos val="nextTo"/>
        <c:txPr>
          <a:bodyPr/>
          <a:lstStyle/>
          <a:p>
            <a:pPr>
              <a:defRPr sz="800"/>
            </a:pPr>
            <a:endParaRPr lang="en-US"/>
          </a:p>
        </c:txPr>
        <c:crossAx val="249084504"/>
        <c:crosses val="autoZero"/>
        <c:auto val="1"/>
        <c:lblAlgn val="ctr"/>
        <c:lblOffset val="100"/>
        <c:noMultiLvlLbl val="0"/>
      </c:catAx>
      <c:valAx>
        <c:axId val="2490845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084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724076717371903E-2"/>
          <c:y val="2.7213551572323365E-2"/>
          <c:w val="0.96241169168038965"/>
          <c:h val="0.81331827429683856"/>
        </c:manualLayout>
      </c:layout>
      <c:barChart>
        <c:barDir val="col"/>
        <c:grouping val="clustered"/>
        <c:varyColors val="0"/>
        <c:ser>
          <c:idx val="3"/>
          <c:order val="3"/>
          <c:tx>
            <c:strRef>
              <c:f>'Further Analysis Sheet'!$C$72</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Sheet'!$D$72:$O$72</c:f>
              <c:numCache>
                <c:formatCode>General</c:formatCode>
                <c:ptCount val="12"/>
                <c:pt idx="0">
                  <c:v>4</c:v>
                </c:pt>
                <c:pt idx="1">
                  <c:v>2</c:v>
                </c:pt>
                <c:pt idx="2">
                  <c:v>0</c:v>
                </c:pt>
                <c:pt idx="3">
                  <c:v>2</c:v>
                </c:pt>
                <c:pt idx="4">
                  <c:v>0</c:v>
                </c:pt>
                <c:pt idx="5">
                  <c:v>1</c:v>
                </c:pt>
                <c:pt idx="6">
                  <c:v>2</c:v>
                </c:pt>
                <c:pt idx="7">
                  <c:v>1</c:v>
                </c:pt>
                <c:pt idx="8">
                  <c:v>1</c:v>
                </c:pt>
                <c:pt idx="9">
                  <c:v>0</c:v>
                </c:pt>
                <c:pt idx="10">
                  <c:v>0</c:v>
                </c:pt>
                <c:pt idx="11">
                  <c:v>0</c:v>
                </c:pt>
              </c:numCache>
            </c:numRef>
          </c:val>
          <c:extLst>
            <c:ext xmlns:c16="http://schemas.microsoft.com/office/drawing/2014/chart" uri="{C3380CC4-5D6E-409C-BE32-E72D297353CC}">
              <c16:uniqueId val="{00000000-143A-4BEA-B2CD-7FAFAC7B3572}"/>
            </c:ext>
          </c:extLst>
        </c:ser>
        <c:dLbls>
          <c:showLegendKey val="0"/>
          <c:showVal val="0"/>
          <c:showCatName val="0"/>
          <c:showSerName val="0"/>
          <c:showPercent val="0"/>
          <c:showBubbleSize val="0"/>
        </c:dLbls>
        <c:gapWidth val="60"/>
        <c:axId val="249413936"/>
        <c:axId val="249414328"/>
      </c:barChart>
      <c:lineChart>
        <c:grouping val="standard"/>
        <c:varyColors val="0"/>
        <c:ser>
          <c:idx val="0"/>
          <c:order val="0"/>
          <c:tx>
            <c:strRef>
              <c:f>'Further Analysis Sheet'!$C$69</c:f>
              <c:strCache>
                <c:ptCount val="1"/>
                <c:pt idx="0">
                  <c:v>Target</c:v>
                </c:pt>
              </c:strCache>
            </c:strRef>
          </c:tx>
          <c:spPr>
            <a:ln>
              <a:solidFill>
                <a:srgbClr val="00B05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Sheet'!$D$69:$O$69</c:f>
              <c:numCache>
                <c:formatCode>General</c:formatCode>
                <c:ptCount val="12"/>
                <c:pt idx="0">
                  <c:v>2</c:v>
                </c:pt>
                <c:pt idx="1">
                  <c:v>2</c:v>
                </c:pt>
                <c:pt idx="2">
                  <c:v>1</c:v>
                </c:pt>
                <c:pt idx="3">
                  <c:v>1</c:v>
                </c:pt>
                <c:pt idx="4">
                  <c:v>1</c:v>
                </c:pt>
                <c:pt idx="5">
                  <c:v>2</c:v>
                </c:pt>
                <c:pt idx="6">
                  <c:v>1</c:v>
                </c:pt>
                <c:pt idx="7">
                  <c:v>1</c:v>
                </c:pt>
                <c:pt idx="8">
                  <c:v>1</c:v>
                </c:pt>
                <c:pt idx="9">
                  <c:v>1</c:v>
                </c:pt>
                <c:pt idx="10">
                  <c:v>1</c:v>
                </c:pt>
                <c:pt idx="11">
                  <c:v>2</c:v>
                </c:pt>
              </c:numCache>
            </c:numRef>
          </c:val>
          <c:smooth val="0"/>
          <c:extLst>
            <c:ext xmlns:c16="http://schemas.microsoft.com/office/drawing/2014/chart" uri="{C3380CC4-5D6E-409C-BE32-E72D297353CC}">
              <c16:uniqueId val="{00000001-143A-4BEA-B2CD-7FAFAC7B3572}"/>
            </c:ext>
          </c:extLst>
        </c:ser>
        <c:ser>
          <c:idx val="1"/>
          <c:order val="1"/>
          <c:tx>
            <c:strRef>
              <c:f>'Further Analysis Sheet'!$C$70</c:f>
              <c:strCache>
                <c:ptCount val="1"/>
                <c:pt idx="0">
                  <c:v>Target +10%</c:v>
                </c:pt>
              </c:strCache>
            </c:strRef>
          </c:tx>
          <c:spPr>
            <a:ln>
              <a:solidFill>
                <a:srgbClr val="C0000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Sheet'!$D$70:$O$70</c:f>
              <c:numCache>
                <c:formatCode>General</c:formatCode>
                <c:ptCount val="12"/>
                <c:pt idx="0">
                  <c:v>2.2000000000000002</c:v>
                </c:pt>
                <c:pt idx="1">
                  <c:v>2.2000000000000002</c:v>
                </c:pt>
                <c:pt idx="2">
                  <c:v>1.1000000000000001</c:v>
                </c:pt>
                <c:pt idx="3">
                  <c:v>1.1000000000000001</c:v>
                </c:pt>
                <c:pt idx="4">
                  <c:v>1.1000000000000001</c:v>
                </c:pt>
                <c:pt idx="5">
                  <c:v>2.2000000000000002</c:v>
                </c:pt>
                <c:pt idx="6">
                  <c:v>1.1000000000000001</c:v>
                </c:pt>
                <c:pt idx="7">
                  <c:v>1.1000000000000001</c:v>
                </c:pt>
                <c:pt idx="8">
                  <c:v>1.1000000000000001</c:v>
                </c:pt>
                <c:pt idx="9">
                  <c:v>1.1000000000000001</c:v>
                </c:pt>
                <c:pt idx="10">
                  <c:v>1.1000000000000001</c:v>
                </c:pt>
                <c:pt idx="11">
                  <c:v>2.2000000000000002</c:v>
                </c:pt>
              </c:numCache>
            </c:numRef>
          </c:val>
          <c:smooth val="0"/>
          <c:extLst>
            <c:ext xmlns:c16="http://schemas.microsoft.com/office/drawing/2014/chart" uri="{C3380CC4-5D6E-409C-BE32-E72D297353CC}">
              <c16:uniqueId val="{00000002-143A-4BEA-B2CD-7FAFAC7B3572}"/>
            </c:ext>
          </c:extLst>
        </c:ser>
        <c:ser>
          <c:idx val="2"/>
          <c:order val="2"/>
          <c:tx>
            <c:strRef>
              <c:f>'Further Analysis Sheet'!$C$71</c:f>
              <c:strCache>
                <c:ptCount val="1"/>
                <c:pt idx="0">
                  <c:v>Target -10%</c:v>
                </c:pt>
              </c:strCache>
            </c:strRef>
          </c:tx>
          <c:spPr>
            <a:ln>
              <a:solidFill>
                <a:srgbClr val="7030A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Sheet'!$D$71:$O$71</c:f>
              <c:numCache>
                <c:formatCode>General</c:formatCode>
                <c:ptCount val="12"/>
                <c:pt idx="0">
                  <c:v>1.8</c:v>
                </c:pt>
                <c:pt idx="1">
                  <c:v>1.8</c:v>
                </c:pt>
                <c:pt idx="2">
                  <c:v>0.9</c:v>
                </c:pt>
                <c:pt idx="3">
                  <c:v>0.9</c:v>
                </c:pt>
                <c:pt idx="4">
                  <c:v>0.9</c:v>
                </c:pt>
                <c:pt idx="5">
                  <c:v>1.8</c:v>
                </c:pt>
                <c:pt idx="6">
                  <c:v>0.9</c:v>
                </c:pt>
                <c:pt idx="7">
                  <c:v>0.9</c:v>
                </c:pt>
                <c:pt idx="8">
                  <c:v>0.9</c:v>
                </c:pt>
                <c:pt idx="9">
                  <c:v>0.9</c:v>
                </c:pt>
                <c:pt idx="10">
                  <c:v>0.9</c:v>
                </c:pt>
                <c:pt idx="11">
                  <c:v>1.8</c:v>
                </c:pt>
              </c:numCache>
            </c:numRef>
          </c:val>
          <c:smooth val="0"/>
          <c:extLst>
            <c:ext xmlns:c16="http://schemas.microsoft.com/office/drawing/2014/chart" uri="{C3380CC4-5D6E-409C-BE32-E72D297353CC}">
              <c16:uniqueId val="{00000003-143A-4BEA-B2CD-7FAFAC7B3572}"/>
            </c:ext>
          </c:extLst>
        </c:ser>
        <c:dLbls>
          <c:showLegendKey val="0"/>
          <c:showVal val="0"/>
          <c:showCatName val="0"/>
          <c:showSerName val="0"/>
          <c:showPercent val="0"/>
          <c:showBubbleSize val="0"/>
        </c:dLbls>
        <c:marker val="1"/>
        <c:smooth val="0"/>
        <c:axId val="249413936"/>
        <c:axId val="249414328"/>
      </c:lineChart>
      <c:catAx>
        <c:axId val="249413936"/>
        <c:scaling>
          <c:orientation val="minMax"/>
        </c:scaling>
        <c:delete val="0"/>
        <c:axPos val="b"/>
        <c:numFmt formatCode="General" sourceLinked="0"/>
        <c:majorTickMark val="out"/>
        <c:minorTickMark val="none"/>
        <c:tickLblPos val="nextTo"/>
        <c:txPr>
          <a:bodyPr/>
          <a:lstStyle/>
          <a:p>
            <a:pPr>
              <a:defRPr sz="800"/>
            </a:pPr>
            <a:endParaRPr lang="en-US"/>
          </a:p>
        </c:txPr>
        <c:crossAx val="249414328"/>
        <c:crosses val="autoZero"/>
        <c:auto val="1"/>
        <c:lblAlgn val="ctr"/>
        <c:lblOffset val="100"/>
        <c:noMultiLvlLbl val="0"/>
      </c:catAx>
      <c:valAx>
        <c:axId val="2494143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4139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35161332193786E-2"/>
          <c:y val="3.72769722098589E-2"/>
          <c:w val="0.93743436213055276"/>
          <c:h val="0.79773556029265935"/>
        </c:manualLayout>
      </c:layout>
      <c:barChart>
        <c:barDir val="col"/>
        <c:grouping val="clustered"/>
        <c:varyColors val="0"/>
        <c:ser>
          <c:idx val="3"/>
          <c:order val="3"/>
          <c:tx>
            <c:strRef>
              <c:f>'Further Analysis Sheet'!$C$27</c:f>
              <c:strCache>
                <c:ptCount val="1"/>
                <c:pt idx="0">
                  <c:v>Performance</c:v>
                </c:pt>
              </c:strCache>
            </c:strRef>
          </c:tx>
          <c:spPr>
            <a:solidFill>
              <a:schemeClr val="bg1">
                <a:lumMod val="65000"/>
              </a:schemeClr>
            </a:solidFill>
            <a:ln w="12700">
              <a:solidFill>
                <a:schemeClr val="tx1"/>
              </a:solidFill>
            </a:ln>
            <a:effectLst/>
          </c:spPr>
          <c:invertIfNegative val="0"/>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Sheet'!$D$27:$O$27</c:f>
              <c:numCache>
                <c:formatCode>General</c:formatCode>
                <c:ptCount val="12"/>
                <c:pt idx="0">
                  <c:v>478</c:v>
                </c:pt>
                <c:pt idx="1">
                  <c:v>527</c:v>
                </c:pt>
                <c:pt idx="2">
                  <c:v>596</c:v>
                </c:pt>
                <c:pt idx="3">
                  <c:v>287</c:v>
                </c:pt>
                <c:pt idx="4">
                  <c:v>313</c:v>
                </c:pt>
                <c:pt idx="5">
                  <c:v>308</c:v>
                </c:pt>
                <c:pt idx="6">
                  <c:v>289</c:v>
                </c:pt>
                <c:pt idx="7">
                  <c:v>247</c:v>
                </c:pt>
                <c:pt idx="8">
                  <c:v>120</c:v>
                </c:pt>
                <c:pt idx="9">
                  <c:v>0</c:v>
                </c:pt>
                <c:pt idx="10">
                  <c:v>0</c:v>
                </c:pt>
                <c:pt idx="11">
                  <c:v>0</c:v>
                </c:pt>
              </c:numCache>
            </c:numRef>
          </c:val>
          <c:extLst>
            <c:ext xmlns:c16="http://schemas.microsoft.com/office/drawing/2014/chart" uri="{C3380CC4-5D6E-409C-BE32-E72D297353CC}">
              <c16:uniqueId val="{00000000-0D00-4683-89F4-2AB4E169FD86}"/>
            </c:ext>
          </c:extLst>
        </c:ser>
        <c:dLbls>
          <c:showLegendKey val="0"/>
          <c:showVal val="0"/>
          <c:showCatName val="0"/>
          <c:showSerName val="0"/>
          <c:showPercent val="0"/>
          <c:showBubbleSize val="0"/>
        </c:dLbls>
        <c:gapWidth val="60"/>
        <c:axId val="223248592"/>
        <c:axId val="223248200"/>
      </c:barChart>
      <c:lineChart>
        <c:grouping val="standard"/>
        <c:varyColors val="0"/>
        <c:ser>
          <c:idx val="0"/>
          <c:order val="0"/>
          <c:tx>
            <c:strRef>
              <c:f>'Further Analysis Sheet'!$C$24</c:f>
              <c:strCache>
                <c:ptCount val="1"/>
                <c:pt idx="0">
                  <c:v>Target</c:v>
                </c:pt>
              </c:strCache>
            </c:strRef>
          </c:tx>
          <c:spPr>
            <a:ln>
              <a:solidFill>
                <a:srgbClr val="00B05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Sheet'!$D$24:$O$24</c:f>
              <c:numCache>
                <c:formatCode>General</c:formatCode>
                <c:ptCount val="12"/>
                <c:pt idx="0">
                  <c:v>622</c:v>
                </c:pt>
                <c:pt idx="1">
                  <c:v>561</c:v>
                </c:pt>
                <c:pt idx="2">
                  <c:v>568</c:v>
                </c:pt>
                <c:pt idx="3">
                  <c:v>709</c:v>
                </c:pt>
                <c:pt idx="4">
                  <c:v>533</c:v>
                </c:pt>
                <c:pt idx="5">
                  <c:v>401</c:v>
                </c:pt>
                <c:pt idx="6">
                  <c:v>345</c:v>
                </c:pt>
                <c:pt idx="7">
                  <c:v>413</c:v>
                </c:pt>
                <c:pt idx="8">
                  <c:v>201</c:v>
                </c:pt>
                <c:pt idx="9">
                  <c:v>224</c:v>
                </c:pt>
                <c:pt idx="10">
                  <c:v>227</c:v>
                </c:pt>
                <c:pt idx="11">
                  <c:v>382</c:v>
                </c:pt>
              </c:numCache>
            </c:numRef>
          </c:val>
          <c:smooth val="0"/>
          <c:extLst>
            <c:ext xmlns:c16="http://schemas.microsoft.com/office/drawing/2014/chart" uri="{C3380CC4-5D6E-409C-BE32-E72D297353CC}">
              <c16:uniqueId val="{00000001-0D00-4683-89F4-2AB4E169FD86}"/>
            </c:ext>
          </c:extLst>
        </c:ser>
        <c:ser>
          <c:idx val="1"/>
          <c:order val="1"/>
          <c:tx>
            <c:strRef>
              <c:f>'Further Analysis Sheet'!$C$25</c:f>
              <c:strCache>
                <c:ptCount val="1"/>
                <c:pt idx="0">
                  <c:v>Target +10%</c:v>
                </c:pt>
              </c:strCache>
            </c:strRef>
          </c:tx>
          <c:spPr>
            <a:ln>
              <a:solidFill>
                <a:srgbClr val="C0000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Sheet'!$D$25:$O$25</c:f>
              <c:numCache>
                <c:formatCode>General</c:formatCode>
                <c:ptCount val="12"/>
                <c:pt idx="0">
                  <c:v>684.2</c:v>
                </c:pt>
                <c:pt idx="1">
                  <c:v>617.1</c:v>
                </c:pt>
                <c:pt idx="2">
                  <c:v>624.80000000000007</c:v>
                </c:pt>
                <c:pt idx="3">
                  <c:v>779.90000000000009</c:v>
                </c:pt>
                <c:pt idx="4">
                  <c:v>586.30000000000007</c:v>
                </c:pt>
                <c:pt idx="5">
                  <c:v>441.1</c:v>
                </c:pt>
                <c:pt idx="6">
                  <c:v>379.50000000000006</c:v>
                </c:pt>
                <c:pt idx="7">
                  <c:v>454.3</c:v>
                </c:pt>
                <c:pt idx="8">
                  <c:v>221.10000000000002</c:v>
                </c:pt>
                <c:pt idx="9">
                  <c:v>246.40000000000003</c:v>
                </c:pt>
                <c:pt idx="10">
                  <c:v>249.70000000000002</c:v>
                </c:pt>
                <c:pt idx="11">
                  <c:v>420.20000000000005</c:v>
                </c:pt>
              </c:numCache>
            </c:numRef>
          </c:val>
          <c:smooth val="0"/>
          <c:extLst>
            <c:ext xmlns:c16="http://schemas.microsoft.com/office/drawing/2014/chart" uri="{C3380CC4-5D6E-409C-BE32-E72D297353CC}">
              <c16:uniqueId val="{00000002-0D00-4683-89F4-2AB4E169FD86}"/>
            </c:ext>
          </c:extLst>
        </c:ser>
        <c:ser>
          <c:idx val="2"/>
          <c:order val="2"/>
          <c:tx>
            <c:strRef>
              <c:f>'Further Analysis Sheet'!$C$26</c:f>
              <c:strCache>
                <c:ptCount val="1"/>
                <c:pt idx="0">
                  <c:v>Target -10%</c:v>
                </c:pt>
              </c:strCache>
            </c:strRef>
          </c:tx>
          <c:spPr>
            <a:ln>
              <a:solidFill>
                <a:srgbClr val="7030A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Sheet'!$D$26:$O$26</c:f>
              <c:numCache>
                <c:formatCode>General</c:formatCode>
                <c:ptCount val="12"/>
                <c:pt idx="0">
                  <c:v>559.80000000000007</c:v>
                </c:pt>
                <c:pt idx="1">
                  <c:v>504.90000000000003</c:v>
                </c:pt>
                <c:pt idx="2">
                  <c:v>511.2</c:v>
                </c:pt>
                <c:pt idx="3">
                  <c:v>638.1</c:v>
                </c:pt>
                <c:pt idx="4">
                  <c:v>479.7</c:v>
                </c:pt>
                <c:pt idx="5">
                  <c:v>360.90000000000003</c:v>
                </c:pt>
                <c:pt idx="6">
                  <c:v>310.5</c:v>
                </c:pt>
                <c:pt idx="7">
                  <c:v>371.7</c:v>
                </c:pt>
                <c:pt idx="8">
                  <c:v>180.9</c:v>
                </c:pt>
                <c:pt idx="9">
                  <c:v>201.6</c:v>
                </c:pt>
                <c:pt idx="10">
                  <c:v>204.3</c:v>
                </c:pt>
                <c:pt idx="11">
                  <c:v>343.8</c:v>
                </c:pt>
              </c:numCache>
            </c:numRef>
          </c:val>
          <c:smooth val="0"/>
          <c:extLst>
            <c:ext xmlns:c16="http://schemas.microsoft.com/office/drawing/2014/chart" uri="{C3380CC4-5D6E-409C-BE32-E72D297353CC}">
              <c16:uniqueId val="{00000003-0D00-4683-89F4-2AB4E169FD86}"/>
            </c:ext>
          </c:extLst>
        </c:ser>
        <c:dLbls>
          <c:showLegendKey val="0"/>
          <c:showVal val="0"/>
          <c:showCatName val="0"/>
          <c:showSerName val="0"/>
          <c:showPercent val="0"/>
          <c:showBubbleSize val="0"/>
        </c:dLbls>
        <c:marker val="1"/>
        <c:smooth val="0"/>
        <c:axId val="223248592"/>
        <c:axId val="223248200"/>
      </c:lineChart>
      <c:catAx>
        <c:axId val="223248592"/>
        <c:scaling>
          <c:orientation val="minMax"/>
        </c:scaling>
        <c:delete val="0"/>
        <c:axPos val="b"/>
        <c:numFmt formatCode="General" sourceLinked="0"/>
        <c:majorTickMark val="out"/>
        <c:minorTickMark val="none"/>
        <c:tickLblPos val="nextTo"/>
        <c:txPr>
          <a:bodyPr/>
          <a:lstStyle/>
          <a:p>
            <a:pPr>
              <a:defRPr sz="800"/>
            </a:pPr>
            <a:endParaRPr lang="en-US"/>
          </a:p>
        </c:txPr>
        <c:crossAx val="223248200"/>
        <c:crosses val="autoZero"/>
        <c:auto val="1"/>
        <c:lblAlgn val="ctr"/>
        <c:lblOffset val="100"/>
        <c:noMultiLvlLbl val="0"/>
      </c:catAx>
      <c:valAx>
        <c:axId val="22324820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592"/>
        <c:crosses val="autoZero"/>
        <c:crossBetween val="between"/>
      </c:valAx>
    </c:plotArea>
    <c:legend>
      <c:legendPos val="b"/>
      <c:layout>
        <c:manualLayout>
          <c:xMode val="edge"/>
          <c:yMode val="edge"/>
          <c:x val="7.0480108578230852E-2"/>
          <c:y val="0.89331706954179524"/>
          <c:w val="0.72437150801694339"/>
          <c:h val="8.6322733423545336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899423-725D-4831-8ED4-3F6ADD4DA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1809</Words>
  <Characters>10312</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Merseyside Fire and Rescue Service</Company>
  <LinksUpToDate>false</LinksUpToDate>
  <CharactersWithSpaces>12097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Nash, Sue</dc:creator>
  <cp:lastModifiedBy>Sutton, Jackie</cp:lastModifiedBy>
  <cp:revision>2</cp:revision>
  <dcterms:created xsi:type="dcterms:W3CDTF">2024-03-27T09:07:00Z</dcterms:created>
  <dcterms:modified xsi:type="dcterms:W3CDTF">2024-03-27T09:07:00Z</dcterms:modified>
</cp:coreProperties>
</file>