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24D27C" w14:textId="77777777" w:rsidR="003160D7" w:rsidRDefault="0054252B">
      <w:r>
        <w:rPr>
          <w:noProof/>
          <w:lang w:eastAsia="en-GB"/>
        </w:rPr>
        <mc:AlternateContent>
          <mc:Choice Requires="wps">
            <w:drawing>
              <wp:anchor distT="0" distB="0" distL="114300" distR="114300" simplePos="0" relativeHeight="251662336" behindDoc="0" locked="0" layoutInCell="1" allowOverlap="1" wp14:anchorId="383EDCEE" wp14:editId="5EAE6176">
                <wp:simplePos x="0" y="0"/>
                <wp:positionH relativeFrom="margin">
                  <wp:align>left</wp:align>
                </wp:positionH>
                <wp:positionV relativeFrom="paragraph">
                  <wp:posOffset>-49258</wp:posOffset>
                </wp:positionV>
                <wp:extent cx="6686550" cy="85725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6686550" cy="857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98A839" w14:textId="44C0F558" w:rsidR="003160D7" w:rsidRPr="0013696A" w:rsidRDefault="0054252B" w:rsidP="003160D7">
                            <w:pPr>
                              <w:jc w:val="center"/>
                              <w:rPr>
                                <w:b/>
                                <w:sz w:val="36"/>
                                <w:szCs w:val="36"/>
                              </w:rPr>
                            </w:pPr>
                            <w:r w:rsidRPr="0013696A">
                              <w:rPr>
                                <w:b/>
                                <w:sz w:val="36"/>
                                <w:szCs w:val="36"/>
                              </w:rPr>
                              <w:t>SERVICE DELIVERY PLAN</w:t>
                            </w:r>
                            <w:r>
                              <w:rPr>
                                <w:b/>
                                <w:sz w:val="36"/>
                                <w:szCs w:val="36"/>
                              </w:rPr>
                              <w:t xml:space="preserve"> 202</w:t>
                            </w:r>
                            <w:r w:rsidR="00BD5E8A">
                              <w:rPr>
                                <w:b/>
                                <w:sz w:val="36"/>
                                <w:szCs w:val="36"/>
                              </w:rPr>
                              <w:t>3</w:t>
                            </w:r>
                            <w:r>
                              <w:rPr>
                                <w:b/>
                                <w:sz w:val="36"/>
                                <w:szCs w:val="36"/>
                              </w:rPr>
                              <w:t>-2</w:t>
                            </w:r>
                            <w:r w:rsidR="00BD5E8A">
                              <w:rPr>
                                <w:b/>
                                <w:sz w:val="36"/>
                                <w:szCs w:val="36"/>
                              </w:rPr>
                              <w:t>4</w:t>
                            </w:r>
                            <w:r w:rsidRPr="0013696A">
                              <w:rPr>
                                <w:b/>
                                <w:sz w:val="36"/>
                                <w:szCs w:val="36"/>
                              </w:rPr>
                              <w:t>:</w:t>
                            </w:r>
                          </w:p>
                          <w:p w14:paraId="597A81F9" w14:textId="1A29456B" w:rsidR="003160D7" w:rsidRPr="0013696A" w:rsidRDefault="0054252B" w:rsidP="003160D7">
                            <w:pPr>
                              <w:jc w:val="center"/>
                              <w:rPr>
                                <w:b/>
                                <w:sz w:val="36"/>
                                <w:szCs w:val="36"/>
                              </w:rPr>
                            </w:pPr>
                            <w:r>
                              <w:rPr>
                                <w:b/>
                                <w:sz w:val="36"/>
                                <w:szCs w:val="36"/>
                              </w:rPr>
                              <w:t>April to June 202</w:t>
                            </w:r>
                            <w:r w:rsidR="00BD5E8A">
                              <w:rPr>
                                <w:b/>
                                <w:sz w:val="36"/>
                                <w:szCs w:val="36"/>
                              </w:rPr>
                              <w:t>3</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83EDCEE" id="Rectangle 2" o:spid="_x0000_s1026" style="position:absolute;margin-left:0;margin-top:-3.9pt;width:526.5pt;height:67.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" fillcolor="#5b9bd5 [3204]" strokecolor="#1f4d78 [1604]" strokeweight="1pt">
                <v:textbox>
                  <w:txbxContent>
                    <w:p w14:paraId="7698A839" w14:textId="44C0F558" w:rsidR="003160D7" w:rsidRPr="0013696A" w:rsidRDefault="0054252B" w:rsidP="003160D7">
                      <w:pPr>
                        <w:jc w:val="center"/>
                        <w:rPr>
                          <w:b/>
                          <w:sz w:val="36"/>
                          <w:szCs w:val="36"/>
                        </w:rPr>
                      </w:pPr>
                      <w:r w:rsidRPr="0013696A">
                        <w:rPr>
                          <w:b/>
                          <w:sz w:val="36"/>
                          <w:szCs w:val="36"/>
                        </w:rPr>
                        <w:t>SERVICE DELIVERY PLAN</w:t>
                      </w:r>
                      <w:r>
                        <w:rPr>
                          <w:b/>
                          <w:sz w:val="36"/>
                          <w:szCs w:val="36"/>
                        </w:rPr>
                        <w:t xml:space="preserve"> 202</w:t>
                      </w:r>
                      <w:r w:rsidR="00BD5E8A">
                        <w:rPr>
                          <w:b/>
                          <w:sz w:val="36"/>
                          <w:szCs w:val="36"/>
                        </w:rPr>
                        <w:t>3</w:t>
                      </w:r>
                      <w:r>
                        <w:rPr>
                          <w:b/>
                          <w:sz w:val="36"/>
                          <w:szCs w:val="36"/>
                        </w:rPr>
                        <w:t>-2</w:t>
                      </w:r>
                      <w:r w:rsidR="00BD5E8A">
                        <w:rPr>
                          <w:b/>
                          <w:sz w:val="36"/>
                          <w:szCs w:val="36"/>
                        </w:rPr>
                        <w:t>4</w:t>
                      </w:r>
                      <w:r w:rsidRPr="0013696A">
                        <w:rPr>
                          <w:b/>
                          <w:sz w:val="36"/>
                          <w:szCs w:val="36"/>
                        </w:rPr>
                        <w:t>:</w:t>
                      </w:r>
                    </w:p>
                    <w:p w14:paraId="597A81F9" w14:textId="1A29456B" w:rsidR="003160D7" w:rsidRPr="0013696A" w:rsidRDefault="0054252B" w:rsidP="003160D7">
                      <w:pPr>
                        <w:jc w:val="center"/>
                        <w:rPr>
                          <w:b/>
                          <w:sz w:val="36"/>
                          <w:szCs w:val="36"/>
                        </w:rPr>
                      </w:pPr>
                      <w:r>
                        <w:rPr>
                          <w:b/>
                          <w:sz w:val="36"/>
                          <w:szCs w:val="36"/>
                        </w:rPr>
                        <w:t>April to June 202</w:t>
                      </w:r>
                      <w:r w:rsidR="00BD5E8A">
                        <w:rPr>
                          <w:b/>
                          <w:sz w:val="36"/>
                          <w:szCs w:val="36"/>
                        </w:rPr>
                        <w:t>3</w:t>
                      </w:r>
                    </w:p>
                  </w:txbxContent>
                </v:textbox>
                <w10:wrap anchorx="margin"/>
              </v:rect>
            </w:pict>
          </mc:Fallback>
        </mc:AlternateContent>
      </w:r>
    </w:p>
    <w:p w14:paraId="3BABC5ED" w14:textId="77777777" w:rsidR="003160D7" w:rsidRDefault="00E063DA"/>
    <w:p w14:paraId="47D4D7A2" w14:textId="77777777" w:rsidR="003160D7" w:rsidRDefault="00E063DA"/>
    <w:p w14:paraId="4B614714" w14:textId="77777777" w:rsidR="003160D7" w:rsidRDefault="0054252B">
      <w:r>
        <w:rPr>
          <w:noProof/>
          <w:lang w:eastAsia="en-GB"/>
        </w:rPr>
        <mc:AlternateContent>
          <mc:Choice Requires="wps">
            <w:drawing>
              <wp:anchor distT="365760" distB="365760" distL="365760" distR="365760" simplePos="0" relativeHeight="251658240" behindDoc="0" locked="0" layoutInCell="1" allowOverlap="1" wp14:anchorId="62DDE540" wp14:editId="75B0ABFA">
                <wp:simplePos x="0" y="0"/>
                <wp:positionH relativeFrom="margin">
                  <wp:posOffset>1762941</wp:posOffset>
                </wp:positionH>
                <wp:positionV relativeFrom="margin">
                  <wp:posOffset>1064623</wp:posOffset>
                </wp:positionV>
                <wp:extent cx="3110230" cy="424180"/>
                <wp:effectExtent l="0" t="0" r="13970" b="13970"/>
                <wp:wrapSquare wrapText="bothSides"/>
                <wp:docPr id="136" name="Text Box 136"/>
                <wp:cNvGraphicFramePr/>
                <a:graphic xmlns:a="http://schemas.openxmlformats.org/drawingml/2006/main">
                  <a:graphicData uri="http://schemas.microsoft.com/office/word/2010/wordprocessingShape">
                    <wps:wsp>
                      <wps:cNvSpPr txBox="1"/>
                      <wps:spPr>
                        <a:xfrm>
                          <a:off x="0" y="0"/>
                          <a:ext cx="3110230" cy="424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384F65" w14:textId="77777777" w:rsidR="003160D7" w:rsidRPr="008808AA" w:rsidRDefault="0054252B" w:rsidP="003160D7">
                            <w:pPr>
                              <w:pBdr>
                                <w:top w:val="single" w:sz="12" w:space="4" w:color="2E74B5" w:themeColor="accent1" w:themeShade="BF"/>
                                <w:left w:val="single" w:sz="12" w:space="4" w:color="2E74B5" w:themeColor="accent1" w:themeShade="BF"/>
                                <w:bottom w:val="single" w:sz="12" w:space="6" w:color="2E74B5" w:themeColor="accent1" w:themeShade="BF"/>
                                <w:right w:val="single" w:sz="12" w:space="4" w:color="2E74B5" w:themeColor="accent1" w:themeShade="BF"/>
                              </w:pBdr>
                              <w:shd w:val="clear" w:color="auto" w:fill="BDD6EE" w:themeFill="accent1" w:themeFillTint="66"/>
                              <w:spacing w:line="240" w:lineRule="auto"/>
                              <w:ind w:left="101" w:right="101"/>
                              <w:jc w:val="center"/>
                              <w:rPr>
                                <w:b/>
                                <w:sz w:val="32"/>
                                <w:szCs w:val="32"/>
                              </w:rPr>
                            </w:pPr>
                            <w:r w:rsidRPr="008808AA">
                              <w:rPr>
                                <w:b/>
                                <w:sz w:val="32"/>
                                <w:szCs w:val="32"/>
                              </w:rPr>
                              <w:t>INDEX</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w14:anchorId="62DDE540" id="_x0000_t202" coordsize="21600,21600" o:spt="202" path="m,l,21600r21600,l21600,xe">
                <v:stroke joinstyle="miter"/>
                <v:path gradientshapeok="t" o:connecttype="rect"/>
              </v:shapetype>
              <v:shape id="Text Box 136" o:spid="_x0000_s1027" type="#_x0000_t202" style="position:absolute;margin-left:138.8pt;margin-top:83.85pt;width:244.9pt;height:33.4pt;z-index:25165824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" filled="f" stroked="f" strokeweight=".5pt">
                <v:textbox inset="0,0,0,0">
                  <w:txbxContent>
                    <w:p w14:paraId="64384F65" w14:textId="77777777" w:rsidR="003160D7" w:rsidRPr="008808AA" w:rsidRDefault="0054252B" w:rsidP="003160D7">
                      <w:pPr>
                        <w:pBdr>
                          <w:top w:val="single" w:sz="12" w:space="4" w:color="2E74B5" w:themeColor="accent1" w:themeShade="BF"/>
                          <w:left w:val="single" w:sz="12" w:space="4" w:color="2E74B5" w:themeColor="accent1" w:themeShade="BF"/>
                          <w:bottom w:val="single" w:sz="12" w:space="6" w:color="2E74B5" w:themeColor="accent1" w:themeShade="BF"/>
                          <w:right w:val="single" w:sz="12" w:space="4" w:color="2E74B5" w:themeColor="accent1" w:themeShade="BF"/>
                        </w:pBdr>
                        <w:shd w:val="clear" w:color="auto" w:fill="BDD6EE" w:themeFill="accent1" w:themeFillTint="66"/>
                        <w:spacing w:line="240" w:lineRule="auto"/>
                        <w:ind w:left="101" w:right="101"/>
                        <w:jc w:val="center"/>
                        <w:rPr>
                          <w:b/>
                          <w:sz w:val="32"/>
                          <w:szCs w:val="32"/>
                        </w:rPr>
                      </w:pPr>
                      <w:r w:rsidRPr="008808AA">
                        <w:rPr>
                          <w:b/>
                          <w:sz w:val="32"/>
                          <w:szCs w:val="32"/>
                        </w:rPr>
                        <w:t>INDEX</w:t>
                      </w:r>
                    </w:p>
                  </w:txbxContent>
                </v:textbox>
                <w10:wrap type="square" anchorx="margin" anchory="margin"/>
              </v:shape>
            </w:pict>
          </mc:Fallback>
        </mc:AlternateContent>
      </w:r>
    </w:p>
    <w:p w14:paraId="6DF0B350" w14:textId="77777777" w:rsidR="003160D7" w:rsidRDefault="00E063DA"/>
    <w:p w14:paraId="461BF73A" w14:textId="77777777" w:rsidR="003160D7" w:rsidRDefault="00E063DA"/>
    <w:tbl>
      <w:tblPr>
        <w:tblStyle w:val="TableGrid"/>
        <w:tblW w:w="0" w:type="auto"/>
        <w:tblInd w:w="2830" w:type="dxa"/>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single" w:sz="12" w:space="0" w:color="2E74B5" w:themeColor="accent1" w:themeShade="BF"/>
          <w:insideV w:val="single" w:sz="12" w:space="0" w:color="2E74B5" w:themeColor="accent1" w:themeShade="BF"/>
        </w:tblBorders>
        <w:shd w:val="clear" w:color="auto" w:fill="DEEAF6" w:themeFill="accent1" w:themeFillTint="33"/>
        <w:tblLook w:val="04A0" w:firstRow="1" w:lastRow="0" w:firstColumn="1" w:lastColumn="0" w:noHBand="0" w:noVBand="1"/>
      </w:tblPr>
      <w:tblGrid>
        <w:gridCol w:w="4851"/>
      </w:tblGrid>
      <w:tr w:rsidR="00C561B1" w14:paraId="1D253BF2" w14:textId="77777777" w:rsidTr="003160D7">
        <w:trPr>
          <w:trHeight w:val="7234"/>
        </w:trPr>
        <w:tc>
          <w:tcPr>
            <w:tcW w:w="4851" w:type="dxa"/>
            <w:shd w:val="clear" w:color="auto" w:fill="DEEAF6" w:themeFill="accent1" w:themeFillTint="33"/>
          </w:tcPr>
          <w:p w14:paraId="39E84CF4" w14:textId="77777777" w:rsidR="003160D7" w:rsidRDefault="00E063DA" w:rsidP="003160D7">
            <w:pPr>
              <w:rPr>
                <w:b/>
                <w:sz w:val="28"/>
                <w:szCs w:val="28"/>
              </w:rPr>
            </w:pPr>
          </w:p>
          <w:p w14:paraId="1FDD0129" w14:textId="77777777" w:rsidR="003160D7" w:rsidRPr="008808AA" w:rsidRDefault="0054252B" w:rsidP="003160D7">
            <w:pPr>
              <w:jc w:val="center"/>
              <w:rPr>
                <w:b/>
                <w:sz w:val="28"/>
                <w:szCs w:val="28"/>
              </w:rPr>
            </w:pPr>
            <w:r>
              <w:rPr>
                <w:b/>
                <w:sz w:val="28"/>
                <w:szCs w:val="28"/>
              </w:rPr>
              <w:t xml:space="preserve">Total emergency calls </w:t>
            </w:r>
          </w:p>
          <w:p w14:paraId="7C825789" w14:textId="77777777" w:rsidR="003160D7" w:rsidRPr="008808AA" w:rsidRDefault="00E063DA" w:rsidP="003160D7">
            <w:pPr>
              <w:jc w:val="center"/>
              <w:rPr>
                <w:b/>
                <w:sz w:val="28"/>
                <w:szCs w:val="28"/>
              </w:rPr>
            </w:pPr>
          </w:p>
          <w:p w14:paraId="2F651436" w14:textId="77777777" w:rsidR="003160D7" w:rsidRPr="008808AA" w:rsidRDefault="0054252B" w:rsidP="003160D7">
            <w:pPr>
              <w:jc w:val="center"/>
              <w:rPr>
                <w:b/>
                <w:sz w:val="28"/>
                <w:szCs w:val="28"/>
              </w:rPr>
            </w:pPr>
            <w:r>
              <w:rPr>
                <w:b/>
                <w:sz w:val="28"/>
                <w:szCs w:val="28"/>
              </w:rPr>
              <w:t xml:space="preserve">Total incidents </w:t>
            </w:r>
          </w:p>
          <w:p w14:paraId="53C535C1" w14:textId="77777777" w:rsidR="003160D7" w:rsidRPr="008808AA" w:rsidRDefault="00E063DA" w:rsidP="003160D7">
            <w:pPr>
              <w:jc w:val="center"/>
              <w:rPr>
                <w:b/>
                <w:sz w:val="28"/>
                <w:szCs w:val="28"/>
              </w:rPr>
            </w:pPr>
          </w:p>
          <w:p w14:paraId="4FAC1AA8" w14:textId="77777777" w:rsidR="003160D7" w:rsidRPr="008808AA" w:rsidRDefault="0054252B" w:rsidP="003160D7">
            <w:pPr>
              <w:jc w:val="center"/>
              <w:rPr>
                <w:b/>
                <w:sz w:val="28"/>
                <w:szCs w:val="28"/>
              </w:rPr>
            </w:pPr>
            <w:r>
              <w:rPr>
                <w:b/>
                <w:sz w:val="28"/>
                <w:szCs w:val="28"/>
              </w:rPr>
              <w:t>Total fires</w:t>
            </w:r>
          </w:p>
          <w:p w14:paraId="18878E4D" w14:textId="77777777" w:rsidR="003160D7" w:rsidRPr="008808AA" w:rsidRDefault="00E063DA" w:rsidP="003160D7">
            <w:pPr>
              <w:jc w:val="center"/>
              <w:rPr>
                <w:b/>
                <w:sz w:val="28"/>
                <w:szCs w:val="28"/>
              </w:rPr>
            </w:pPr>
          </w:p>
          <w:p w14:paraId="236AEFB3" w14:textId="77777777" w:rsidR="003160D7" w:rsidRPr="008808AA" w:rsidRDefault="0054252B" w:rsidP="003160D7">
            <w:pPr>
              <w:jc w:val="center"/>
              <w:rPr>
                <w:b/>
                <w:sz w:val="28"/>
                <w:szCs w:val="28"/>
              </w:rPr>
            </w:pPr>
            <w:r>
              <w:rPr>
                <w:b/>
                <w:sz w:val="28"/>
                <w:szCs w:val="28"/>
              </w:rPr>
              <w:t xml:space="preserve">Primary fires </w:t>
            </w:r>
          </w:p>
          <w:p w14:paraId="587A63B1" w14:textId="77777777" w:rsidR="003160D7" w:rsidRPr="008808AA" w:rsidRDefault="00E063DA" w:rsidP="003160D7">
            <w:pPr>
              <w:jc w:val="center"/>
              <w:rPr>
                <w:b/>
                <w:sz w:val="28"/>
                <w:szCs w:val="28"/>
              </w:rPr>
            </w:pPr>
          </w:p>
          <w:p w14:paraId="6A4F69F2" w14:textId="77777777" w:rsidR="003160D7" w:rsidRDefault="0054252B" w:rsidP="003160D7">
            <w:pPr>
              <w:jc w:val="center"/>
              <w:rPr>
                <w:b/>
                <w:sz w:val="28"/>
                <w:szCs w:val="28"/>
              </w:rPr>
            </w:pPr>
            <w:r>
              <w:rPr>
                <w:b/>
                <w:sz w:val="28"/>
                <w:szCs w:val="28"/>
              </w:rPr>
              <w:t xml:space="preserve">Secondary fires </w:t>
            </w:r>
          </w:p>
          <w:p w14:paraId="03A0514B" w14:textId="77777777" w:rsidR="003160D7" w:rsidRDefault="00E063DA" w:rsidP="003160D7">
            <w:pPr>
              <w:jc w:val="center"/>
              <w:rPr>
                <w:b/>
                <w:sz w:val="28"/>
                <w:szCs w:val="28"/>
              </w:rPr>
            </w:pPr>
          </w:p>
          <w:p w14:paraId="385B5EB2" w14:textId="77777777" w:rsidR="003160D7" w:rsidRPr="008808AA" w:rsidRDefault="0054252B" w:rsidP="003160D7">
            <w:pPr>
              <w:jc w:val="center"/>
              <w:rPr>
                <w:b/>
                <w:sz w:val="28"/>
                <w:szCs w:val="28"/>
              </w:rPr>
            </w:pPr>
            <w:r>
              <w:rPr>
                <w:b/>
                <w:sz w:val="28"/>
                <w:szCs w:val="28"/>
              </w:rPr>
              <w:t>Special services</w:t>
            </w:r>
          </w:p>
          <w:p w14:paraId="244CB233" w14:textId="77777777" w:rsidR="003160D7" w:rsidRPr="008808AA" w:rsidRDefault="00E063DA" w:rsidP="003160D7">
            <w:pPr>
              <w:jc w:val="center"/>
              <w:rPr>
                <w:b/>
                <w:sz w:val="28"/>
                <w:szCs w:val="28"/>
              </w:rPr>
            </w:pPr>
          </w:p>
          <w:p w14:paraId="2D5D18B5" w14:textId="77777777" w:rsidR="003160D7" w:rsidRDefault="0054252B" w:rsidP="003160D7">
            <w:pPr>
              <w:jc w:val="center"/>
              <w:rPr>
                <w:b/>
                <w:sz w:val="28"/>
                <w:szCs w:val="28"/>
              </w:rPr>
            </w:pPr>
            <w:r>
              <w:rPr>
                <w:b/>
                <w:sz w:val="28"/>
                <w:szCs w:val="28"/>
              </w:rPr>
              <w:t xml:space="preserve">False alarms </w:t>
            </w:r>
          </w:p>
          <w:p w14:paraId="6789AAD9" w14:textId="77777777" w:rsidR="003160D7" w:rsidRDefault="00E063DA" w:rsidP="003160D7">
            <w:pPr>
              <w:jc w:val="center"/>
              <w:rPr>
                <w:b/>
                <w:sz w:val="28"/>
                <w:szCs w:val="28"/>
              </w:rPr>
            </w:pPr>
          </w:p>
          <w:p w14:paraId="276C3188" w14:textId="77777777" w:rsidR="003160D7" w:rsidRPr="008808AA" w:rsidRDefault="0054252B" w:rsidP="003160D7">
            <w:pPr>
              <w:jc w:val="center"/>
              <w:rPr>
                <w:b/>
                <w:sz w:val="28"/>
                <w:szCs w:val="28"/>
              </w:rPr>
            </w:pPr>
            <w:r>
              <w:rPr>
                <w:b/>
                <w:sz w:val="28"/>
                <w:szCs w:val="28"/>
              </w:rPr>
              <w:t>Attendance standard</w:t>
            </w:r>
          </w:p>
          <w:p w14:paraId="7CB4FB0E" w14:textId="77777777" w:rsidR="003160D7" w:rsidRPr="008808AA" w:rsidRDefault="00E063DA" w:rsidP="003160D7">
            <w:pPr>
              <w:jc w:val="center"/>
              <w:rPr>
                <w:b/>
                <w:sz w:val="28"/>
                <w:szCs w:val="28"/>
              </w:rPr>
            </w:pPr>
          </w:p>
          <w:p w14:paraId="46104152" w14:textId="77777777" w:rsidR="003160D7" w:rsidRDefault="0054252B" w:rsidP="003160D7">
            <w:pPr>
              <w:jc w:val="center"/>
              <w:rPr>
                <w:b/>
                <w:sz w:val="28"/>
                <w:szCs w:val="28"/>
              </w:rPr>
            </w:pPr>
            <w:r w:rsidRPr="008808AA">
              <w:rPr>
                <w:b/>
                <w:sz w:val="28"/>
                <w:szCs w:val="28"/>
              </w:rPr>
              <w:t xml:space="preserve">Sickness </w:t>
            </w:r>
            <w:r>
              <w:rPr>
                <w:b/>
                <w:sz w:val="28"/>
                <w:szCs w:val="28"/>
              </w:rPr>
              <w:t>a</w:t>
            </w:r>
            <w:r w:rsidRPr="008808AA">
              <w:rPr>
                <w:b/>
                <w:sz w:val="28"/>
                <w:szCs w:val="28"/>
              </w:rPr>
              <w:t>bsence</w:t>
            </w:r>
          </w:p>
          <w:p w14:paraId="78A6BCBB" w14:textId="77777777" w:rsidR="003160D7" w:rsidRDefault="00E063DA" w:rsidP="003160D7">
            <w:pPr>
              <w:jc w:val="center"/>
              <w:rPr>
                <w:b/>
                <w:sz w:val="28"/>
                <w:szCs w:val="28"/>
              </w:rPr>
            </w:pPr>
          </w:p>
          <w:p w14:paraId="2FA338E3" w14:textId="77777777" w:rsidR="003160D7" w:rsidRPr="008808AA" w:rsidRDefault="0054252B" w:rsidP="003160D7">
            <w:pPr>
              <w:jc w:val="center"/>
              <w:rPr>
                <w:b/>
                <w:sz w:val="28"/>
                <w:szCs w:val="28"/>
              </w:rPr>
            </w:pPr>
            <w:r>
              <w:rPr>
                <w:b/>
                <w:sz w:val="28"/>
                <w:szCs w:val="28"/>
              </w:rPr>
              <w:t>Carbon output</w:t>
            </w:r>
          </w:p>
          <w:p w14:paraId="23CA261F" w14:textId="77777777" w:rsidR="003160D7" w:rsidRDefault="00E063DA"/>
        </w:tc>
      </w:tr>
    </w:tbl>
    <w:p w14:paraId="38796DBC" w14:textId="77777777" w:rsidR="003160D7" w:rsidRDefault="00E063DA"/>
    <w:tbl>
      <w:tblPr>
        <w:tblStyle w:val="TableGrid"/>
        <w:tblW w:w="0" w:type="auto"/>
        <w:tblInd w:w="2830" w:type="dxa"/>
        <w:tblBorders>
          <w:top w:val="single" w:sz="12" w:space="0" w:color="2E74B5" w:themeColor="accent1" w:themeShade="BF"/>
          <w:left w:val="single" w:sz="12" w:space="0" w:color="2E74B5" w:themeColor="accent1" w:themeShade="BF"/>
          <w:bottom w:val="single" w:sz="12" w:space="0" w:color="2E74B5" w:themeColor="accent1" w:themeShade="BF"/>
          <w:right w:val="single" w:sz="12" w:space="0" w:color="2E74B5" w:themeColor="accent1" w:themeShade="BF"/>
          <w:insideH w:val="none" w:sz="0" w:space="0" w:color="auto"/>
          <w:insideV w:val="none" w:sz="0" w:space="0" w:color="auto"/>
        </w:tblBorders>
        <w:tblLook w:val="04A0" w:firstRow="1" w:lastRow="0" w:firstColumn="1" w:lastColumn="0" w:noHBand="0" w:noVBand="1"/>
      </w:tblPr>
      <w:tblGrid>
        <w:gridCol w:w="4820"/>
      </w:tblGrid>
      <w:tr w:rsidR="00C561B1" w14:paraId="7BB5947F" w14:textId="77777777" w:rsidTr="003160D7">
        <w:trPr>
          <w:trHeight w:val="2027"/>
        </w:trPr>
        <w:tc>
          <w:tcPr>
            <w:tcW w:w="4820" w:type="dxa"/>
            <w:shd w:val="clear" w:color="auto" w:fill="DEEAF6" w:themeFill="accent1" w:themeFillTint="33"/>
          </w:tcPr>
          <w:p w14:paraId="25738F54" w14:textId="77777777" w:rsidR="003160D7" w:rsidRPr="0013696A" w:rsidRDefault="0054252B" w:rsidP="003160D7">
            <w:pPr>
              <w:jc w:val="center"/>
              <w:rPr>
                <w:b/>
              </w:rPr>
            </w:pPr>
            <w:r w:rsidRPr="0013696A">
              <w:rPr>
                <w:b/>
              </w:rPr>
              <w:t>Objective:</w:t>
            </w:r>
          </w:p>
          <w:p w14:paraId="5D4E4EAC" w14:textId="77777777" w:rsidR="003160D7" w:rsidRPr="0013696A" w:rsidRDefault="00E063DA">
            <w:pPr>
              <w:rPr>
                <w:b/>
              </w:rPr>
            </w:pPr>
          </w:p>
          <w:p w14:paraId="202D0F6D" w14:textId="77777777" w:rsidR="003160D7" w:rsidRPr="0013696A" w:rsidRDefault="0054252B">
            <w:pPr>
              <w:rPr>
                <w:b/>
              </w:rPr>
            </w:pPr>
            <w:r w:rsidRPr="0013696A">
              <w:rPr>
                <w:b/>
              </w:rPr>
              <w:t>Good performance is reflected on the top bar of each indicator graph. W</w:t>
            </w:r>
            <w:r>
              <w:rPr>
                <w:b/>
              </w:rPr>
              <w:t>e</w:t>
            </w:r>
            <w:r w:rsidRPr="0013696A">
              <w:rPr>
                <w:b/>
              </w:rPr>
              <w:t xml:space="preserve"> use Red, Amber, and Green to indicate how each indicator is performing. Amber reflects an ind</w:t>
            </w:r>
            <w:r>
              <w:rPr>
                <w:b/>
              </w:rPr>
              <w:t>icator is within 10% of target.</w:t>
            </w:r>
          </w:p>
        </w:tc>
      </w:tr>
    </w:tbl>
    <w:p w14:paraId="000ECC6B" w14:textId="77777777" w:rsidR="003160D7" w:rsidRDefault="00E063DA" w:rsidP="003160D7">
      <w:pPr>
        <w:jc w:val="center"/>
      </w:pPr>
    </w:p>
    <w:p w14:paraId="52C4D726" w14:textId="77777777" w:rsidR="003160D7" w:rsidRDefault="0054252B">
      <w:r>
        <w:rPr>
          <w:noProof/>
          <w:lang w:eastAsia="en-GB"/>
        </w:rPr>
        <w:drawing>
          <wp:inline distT="0" distB="0" distL="0" distR="0" wp14:anchorId="15C28CF6" wp14:editId="63A665A6">
            <wp:extent cx="2599331" cy="780995"/>
            <wp:effectExtent l="0" t="0" r="0" b="635"/>
            <wp:docPr id="7"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247444" name="Picture 1" descr="Picture"/>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782337" cy="835981"/>
                    </a:xfrm>
                    <a:prstGeom prst="rect">
                      <a:avLst/>
                    </a:prstGeom>
                    <a:noFill/>
                    <a:ln>
                      <a:noFill/>
                    </a:ln>
                  </pic:spPr>
                </pic:pic>
              </a:graphicData>
            </a:graphic>
          </wp:inline>
        </w:drawing>
      </w:r>
    </w:p>
    <w:p w14:paraId="647EA213" w14:textId="77777777" w:rsidR="003160D7" w:rsidRDefault="0054252B">
      <w:r>
        <w:rPr>
          <w:noProof/>
          <w:lang w:eastAsia="en-GB"/>
        </w:rPr>
        <w:lastRenderedPageBreak/>
        <mc:AlternateContent>
          <mc:Choice Requires="wps">
            <w:drawing>
              <wp:anchor distT="0" distB="0" distL="114300" distR="114300" simplePos="0" relativeHeight="251660288" behindDoc="0" locked="0" layoutInCell="1" allowOverlap="1" wp14:anchorId="0196788F" wp14:editId="049BC4F8">
                <wp:simplePos x="0" y="0"/>
                <wp:positionH relativeFrom="margin">
                  <wp:align>left</wp:align>
                </wp:positionH>
                <wp:positionV relativeFrom="paragraph">
                  <wp:posOffset>-195580</wp:posOffset>
                </wp:positionV>
                <wp:extent cx="6604907" cy="310243"/>
                <wp:effectExtent l="0" t="0" r="24765" b="13970"/>
                <wp:wrapNone/>
                <wp:docPr id="4" name="Rectangle 4"/>
                <wp:cNvGraphicFramePr/>
                <a:graphic xmlns:a="http://schemas.openxmlformats.org/drawingml/2006/main">
                  <a:graphicData uri="http://schemas.microsoft.com/office/word/2010/wordprocessingShape">
                    <wps:wsp>
                      <wps:cNvSpPr/>
                      <wps:spPr>
                        <a:xfrm>
                          <a:off x="0" y="0"/>
                          <a:ext cx="6604907" cy="31024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702CBB" w14:textId="77777777" w:rsidR="003160D7" w:rsidRPr="005F20DB" w:rsidRDefault="0054252B" w:rsidP="003160D7">
                            <w:pPr>
                              <w:shd w:val="clear" w:color="auto" w:fill="5B9BD5" w:themeFill="accent1"/>
                              <w:jc w:val="center"/>
                              <w:rPr>
                                <w:b/>
                                <w:color w:val="FFFFFF" w:themeColor="background1"/>
                                <w:sz w:val="28"/>
                                <w:szCs w:val="28"/>
                              </w:rPr>
                            </w:pPr>
                            <w:r w:rsidRPr="005F20DB">
                              <w:rPr>
                                <w:b/>
                                <w:color w:val="FFFFFF" w:themeColor="background1"/>
                                <w:sz w:val="28"/>
                                <w:szCs w:val="28"/>
                              </w:rPr>
                              <w:t>BENCHMARK INDICATORS</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w14:anchorId="0196788F" id="Rectangle 4" o:spid="_x0000_s1028" style="position:absolute;margin-left:0;margin-top:-15.4pt;width:520.05pt;height:24.45pt;z-index:2516602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" fillcolor="#5b9bd5 [3204]" strokecolor="#1f4d78 [1604]" strokeweight="1pt">
                <v:textbox>
                  <w:txbxContent>
                    <w:p w14:paraId="51702CBB" w14:textId="77777777" w:rsidR="003160D7" w:rsidRPr="005F20DB" w:rsidRDefault="0054252B" w:rsidP="003160D7">
                      <w:pPr>
                        <w:shd w:val="clear" w:color="auto" w:fill="5B9BD5" w:themeFill="accent1"/>
                        <w:jc w:val="center"/>
                        <w:rPr>
                          <w:b/>
                          <w:color w:val="FFFFFF" w:themeColor="background1"/>
                          <w:sz w:val="28"/>
                          <w:szCs w:val="28"/>
                        </w:rPr>
                      </w:pPr>
                      <w:r w:rsidRPr="005F20DB">
                        <w:rPr>
                          <w:b/>
                          <w:color w:val="FFFFFF" w:themeColor="background1"/>
                          <w:sz w:val="28"/>
                          <w:szCs w:val="28"/>
                        </w:rPr>
                        <w:t>BENCHMARK INDICATORS</w:t>
                      </w:r>
                    </w:p>
                  </w:txbxContent>
                </v:textbox>
                <w10:wrap anchorx="margin"/>
              </v:rect>
            </w:pict>
          </mc:Fallback>
        </mc:AlternateContent>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586"/>
        <w:gridCol w:w="249"/>
        <w:gridCol w:w="2376"/>
        <w:gridCol w:w="142"/>
        <w:gridCol w:w="2434"/>
        <w:gridCol w:w="512"/>
        <w:gridCol w:w="2147"/>
      </w:tblGrid>
      <w:tr w:rsidR="00C561B1" w14:paraId="07AC2290" w14:textId="77777777" w:rsidTr="003160D7">
        <w:trPr>
          <w:trHeight w:val="354"/>
        </w:trPr>
        <w:tc>
          <w:tcPr>
            <w:tcW w:w="10446" w:type="dxa"/>
            <w:gridSpan w:val="7"/>
            <w:shd w:val="clear" w:color="auto" w:fill="5B9BD5" w:themeFill="accent1"/>
          </w:tcPr>
          <w:p w14:paraId="691C8F23" w14:textId="77777777" w:rsidR="003160D7" w:rsidRPr="005F20DB" w:rsidRDefault="0054252B" w:rsidP="003160D7">
            <w:pPr>
              <w:rPr>
                <w:b/>
                <w:color w:val="FFFFFF" w:themeColor="background1"/>
                <w:sz w:val="28"/>
                <w:szCs w:val="28"/>
              </w:rPr>
            </w:pPr>
            <w:r>
              <w:rPr>
                <w:b/>
                <w:color w:val="FFFFFF" w:themeColor="background1"/>
                <w:sz w:val="28"/>
                <w:szCs w:val="28"/>
              </w:rPr>
              <w:t>TC00 T</w:t>
            </w:r>
            <w:r w:rsidRPr="006C577F">
              <w:rPr>
                <w:b/>
                <w:color w:val="FFFFFF" w:themeColor="background1"/>
                <w:sz w:val="28"/>
                <w:szCs w:val="28"/>
              </w:rPr>
              <w:t>otal number</w:t>
            </w:r>
            <w:r>
              <w:rPr>
                <w:b/>
                <w:color w:val="FFFFFF" w:themeColor="background1"/>
                <w:sz w:val="28"/>
                <w:szCs w:val="28"/>
              </w:rPr>
              <w:t xml:space="preserve"> of emergency calls received</w:t>
            </w:r>
          </w:p>
        </w:tc>
      </w:tr>
      <w:tr w:rsidR="00C561B1" w14:paraId="0B452BBF" w14:textId="77777777" w:rsidTr="003160D7">
        <w:trPr>
          <w:trHeight w:val="567"/>
        </w:trPr>
        <w:tc>
          <w:tcPr>
            <w:tcW w:w="2586" w:type="dxa"/>
            <w:shd w:val="clear" w:color="auto" w:fill="FFFF00"/>
            <w:vAlign w:val="center"/>
          </w:tcPr>
          <w:p w14:paraId="71B6908D" w14:textId="77777777" w:rsidR="003160D7" w:rsidRDefault="0054252B" w:rsidP="003160D7">
            <w:pPr>
              <w:jc w:val="center"/>
            </w:pPr>
            <w:r w:rsidRPr="00C63E5E">
              <w:t>Service Plan Target</w:t>
            </w:r>
          </w:p>
        </w:tc>
        <w:tc>
          <w:tcPr>
            <w:tcW w:w="2625" w:type="dxa"/>
            <w:gridSpan w:val="2"/>
            <w:shd w:val="clear" w:color="auto" w:fill="D9E2F3" w:themeFill="accent5" w:themeFillTint="33"/>
            <w:vAlign w:val="center"/>
          </w:tcPr>
          <w:p w14:paraId="03D471CE" w14:textId="77777777" w:rsidR="003160D7" w:rsidRPr="00C63E5E" w:rsidRDefault="0054252B" w:rsidP="003160D7">
            <w:pPr>
              <w:jc w:val="center"/>
              <w:rPr>
                <w:b/>
              </w:rPr>
            </w:pPr>
            <w:r>
              <w:rPr>
                <w:b/>
              </w:rPr>
              <w:t xml:space="preserve">No target - </w:t>
            </w:r>
            <w:r w:rsidRPr="00F31295">
              <w:rPr>
                <w:b/>
              </w:rPr>
              <w:t>Quality Assurance</w:t>
            </w:r>
            <w:r>
              <w:rPr>
                <w:b/>
              </w:rPr>
              <w:t xml:space="preserve"> </w:t>
            </w:r>
          </w:p>
        </w:tc>
        <w:tc>
          <w:tcPr>
            <w:tcW w:w="3088" w:type="dxa"/>
            <w:gridSpan w:val="3"/>
            <w:shd w:val="clear" w:color="auto" w:fill="FFFF00"/>
            <w:vAlign w:val="center"/>
          </w:tcPr>
          <w:p w14:paraId="081E93A0" w14:textId="77777777" w:rsidR="003160D7" w:rsidRDefault="0054252B" w:rsidP="003160D7">
            <w:pPr>
              <w:jc w:val="center"/>
            </w:pPr>
            <w:r w:rsidRPr="00C63E5E">
              <w:t>Progress to Date</w:t>
            </w:r>
          </w:p>
        </w:tc>
        <w:tc>
          <w:tcPr>
            <w:tcW w:w="2147" w:type="dxa"/>
            <w:shd w:val="clear" w:color="auto" w:fill="D9E2F3" w:themeFill="accent5" w:themeFillTint="33"/>
            <w:vAlign w:val="center"/>
          </w:tcPr>
          <w:p w14:paraId="181225E9" w14:textId="53B89721" w:rsidR="003160D7" w:rsidRPr="00D04140" w:rsidRDefault="00A25B0A" w:rsidP="003160D7">
            <w:pPr>
              <w:jc w:val="center"/>
              <w:rPr>
                <w:b/>
              </w:rPr>
            </w:pPr>
            <w:r>
              <w:rPr>
                <w:b/>
              </w:rPr>
              <w:t>5771</w:t>
            </w:r>
          </w:p>
        </w:tc>
      </w:tr>
      <w:tr w:rsidR="00C561B1" w14:paraId="1B6A5173" w14:textId="77777777" w:rsidTr="00A32889">
        <w:tc>
          <w:tcPr>
            <w:tcW w:w="10446" w:type="dxa"/>
            <w:gridSpan w:val="7"/>
          </w:tcPr>
          <w:p w14:paraId="77ABF887" w14:textId="0434C510" w:rsidR="003160D7" w:rsidRDefault="00A32889" w:rsidP="00573A9F">
            <w:pPr>
              <w:jc w:val="center"/>
            </w:pPr>
            <w:r>
              <w:rPr>
                <w:noProof/>
              </w:rPr>
              <w:drawing>
                <wp:inline distT="0" distB="0" distL="0" distR="0" wp14:anchorId="7778B214" wp14:editId="6C549D1A">
                  <wp:extent cx="5770800" cy="2658717"/>
                  <wp:effectExtent l="0" t="0" r="1905" b="8890"/>
                  <wp:docPr id="1" name="Chart 1">
                    <a:extLst xmlns:a="http://schemas.openxmlformats.org/drawingml/2006/main">
                      <a:ext uri="{FF2B5EF4-FFF2-40B4-BE49-F238E27FC236}">
                        <a16:creationId xmlns:a16="http://schemas.microsoft.com/office/drawing/2014/main" id="{00000000-0008-0000-06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r w:rsidR="00C561B1" w14:paraId="5C2F5ED5" w14:textId="77777777" w:rsidTr="003160D7">
        <w:tc>
          <w:tcPr>
            <w:tcW w:w="10446" w:type="dxa"/>
            <w:gridSpan w:val="7"/>
            <w:shd w:val="clear" w:color="auto" w:fill="5B9BD5" w:themeFill="accent1"/>
          </w:tcPr>
          <w:p w14:paraId="58C36CBC" w14:textId="77777777" w:rsidR="003160D7" w:rsidRPr="005359B6" w:rsidRDefault="0054252B" w:rsidP="003160D7">
            <w:pPr>
              <w:rPr>
                <w:b/>
                <w:color w:val="FFFFFF" w:themeColor="background1"/>
              </w:rPr>
            </w:pPr>
            <w:r w:rsidRPr="005359B6">
              <w:rPr>
                <w:b/>
                <w:color w:val="FFFFFF" w:themeColor="background1"/>
              </w:rPr>
              <w:t>Cumulative Performance</w:t>
            </w:r>
          </w:p>
        </w:tc>
      </w:tr>
      <w:tr w:rsidR="00C561B1" w14:paraId="1D38BD7B" w14:textId="77777777" w:rsidTr="00A32889">
        <w:trPr>
          <w:trHeight w:val="3643"/>
        </w:trPr>
        <w:tc>
          <w:tcPr>
            <w:tcW w:w="10446" w:type="dxa"/>
            <w:gridSpan w:val="7"/>
          </w:tcPr>
          <w:p w14:paraId="2055F8DB" w14:textId="6BD1BF0C" w:rsidR="003160D7" w:rsidRDefault="00A32889" w:rsidP="003160D7">
            <w:pPr>
              <w:jc w:val="center"/>
              <w:rPr>
                <w:noProof/>
                <w:lang w:eastAsia="en-GB"/>
              </w:rPr>
            </w:pPr>
            <w:r>
              <w:rPr>
                <w:noProof/>
              </w:rPr>
              <w:drawing>
                <wp:inline distT="0" distB="0" distL="0" distR="0" wp14:anchorId="689B1BEE" wp14:editId="218B5AF2">
                  <wp:extent cx="5770800" cy="2683532"/>
                  <wp:effectExtent l="0" t="0" r="1905" b="2540"/>
                  <wp:docPr id="3" name="Chart 3">
                    <a:extLst xmlns:a="http://schemas.openxmlformats.org/drawingml/2006/main">
                      <a:ext uri="{FF2B5EF4-FFF2-40B4-BE49-F238E27FC236}">
                        <a16:creationId xmlns:a16="http://schemas.microsoft.com/office/drawing/2014/main" id="{00000000-0008-0000-06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tc>
      </w:tr>
      <w:tr w:rsidR="00C561B1" w14:paraId="265AA221" w14:textId="77777777" w:rsidTr="003160D7">
        <w:trPr>
          <w:trHeight w:val="340"/>
        </w:trPr>
        <w:tc>
          <w:tcPr>
            <w:tcW w:w="5211" w:type="dxa"/>
            <w:gridSpan w:val="3"/>
            <w:vMerge w:val="restart"/>
          </w:tcPr>
          <w:p w14:paraId="24C9DBF2" w14:textId="77777777" w:rsidR="003160D7" w:rsidRPr="00681F4B" w:rsidRDefault="0054252B" w:rsidP="003160D7">
            <w:pPr>
              <w:rPr>
                <w:b/>
              </w:rPr>
            </w:pPr>
            <w:r w:rsidRPr="00681F4B">
              <w:rPr>
                <w:b/>
              </w:rPr>
              <w:t>TO00 Total number of emergency calls received</w:t>
            </w:r>
          </w:p>
          <w:p w14:paraId="6F079898" w14:textId="77777777" w:rsidR="003160D7" w:rsidRPr="00681F4B" w:rsidRDefault="00E063DA" w:rsidP="003160D7">
            <w:pPr>
              <w:rPr>
                <w:b/>
              </w:rPr>
            </w:pPr>
          </w:p>
          <w:p w14:paraId="1175FC94" w14:textId="77777777" w:rsidR="003160D7" w:rsidRPr="00681F4B" w:rsidRDefault="0054252B" w:rsidP="003160D7">
            <w:pPr>
              <w:rPr>
                <w:b/>
              </w:rPr>
            </w:pPr>
            <w:r w:rsidRPr="00681F4B">
              <w:rPr>
                <w:b/>
              </w:rPr>
              <w:t>DO22 The % of 999 calls answered within 10 seconds</w:t>
            </w:r>
          </w:p>
          <w:p w14:paraId="766768E4" w14:textId="77777777" w:rsidR="003160D7" w:rsidRDefault="00E063DA" w:rsidP="003160D7"/>
        </w:tc>
        <w:tc>
          <w:tcPr>
            <w:tcW w:w="5235" w:type="dxa"/>
            <w:gridSpan w:val="4"/>
            <w:shd w:val="clear" w:color="auto" w:fill="D9E2F3" w:themeFill="accent5" w:themeFillTint="33"/>
          </w:tcPr>
          <w:p w14:paraId="782FFCB1" w14:textId="77777777" w:rsidR="003160D7" w:rsidRPr="00681F4B" w:rsidRDefault="0054252B" w:rsidP="003160D7">
            <w:pPr>
              <w:jc w:val="center"/>
              <w:rPr>
                <w:b/>
              </w:rPr>
            </w:pPr>
            <w:r w:rsidRPr="00681F4B">
              <w:rPr>
                <w:b/>
              </w:rPr>
              <w:t>For quality assurance only</w:t>
            </w:r>
          </w:p>
          <w:p w14:paraId="63FE1AE5" w14:textId="77777777" w:rsidR="003160D7" w:rsidRPr="00F65CA6" w:rsidRDefault="00E063DA" w:rsidP="003160D7">
            <w:pPr>
              <w:rPr>
                <w:color w:val="DD898B"/>
              </w:rPr>
            </w:pPr>
          </w:p>
        </w:tc>
      </w:tr>
      <w:tr w:rsidR="00C561B1" w14:paraId="0E7DDA9F" w14:textId="77777777" w:rsidTr="003160D7">
        <w:tc>
          <w:tcPr>
            <w:tcW w:w="5211" w:type="dxa"/>
            <w:gridSpan w:val="3"/>
            <w:vMerge/>
          </w:tcPr>
          <w:p w14:paraId="7E0A84C8" w14:textId="77777777" w:rsidR="003160D7" w:rsidRDefault="00E063DA" w:rsidP="003160D7"/>
        </w:tc>
        <w:tc>
          <w:tcPr>
            <w:tcW w:w="5235" w:type="dxa"/>
            <w:gridSpan w:val="4"/>
            <w:shd w:val="clear" w:color="auto" w:fill="00B050"/>
          </w:tcPr>
          <w:p w14:paraId="7494E0B8" w14:textId="77777777" w:rsidR="003160D7" w:rsidRDefault="00E063DA" w:rsidP="003160D7"/>
        </w:tc>
      </w:tr>
      <w:tr w:rsidR="00C561B1" w14:paraId="5EE7A459" w14:textId="77777777" w:rsidTr="003160D7">
        <w:tc>
          <w:tcPr>
            <w:tcW w:w="2586" w:type="dxa"/>
          </w:tcPr>
          <w:p w14:paraId="0D38CF45" w14:textId="77777777" w:rsidR="003160D7" w:rsidRDefault="00E063DA" w:rsidP="003160D7"/>
          <w:p w14:paraId="577444CF" w14:textId="77777777" w:rsidR="003160D7" w:rsidRDefault="0054252B" w:rsidP="003160D7">
            <w:r>
              <w:t>TC00</w:t>
            </w:r>
          </w:p>
        </w:tc>
        <w:tc>
          <w:tcPr>
            <w:tcW w:w="7860" w:type="dxa"/>
            <w:gridSpan w:val="6"/>
          </w:tcPr>
          <w:p w14:paraId="2280A2A0" w14:textId="5F95F978" w:rsidR="003160D7" w:rsidRDefault="0054252B" w:rsidP="003160D7">
            <w:r>
              <w:t xml:space="preserve">During the first quarter of </w:t>
            </w:r>
            <w:r w:rsidR="00BD5E8A">
              <w:t>2023</w:t>
            </w:r>
            <w:r>
              <w:t>-2</w:t>
            </w:r>
            <w:r w:rsidR="00DE63BC">
              <w:t>4</w:t>
            </w:r>
            <w:r>
              <w:t xml:space="preserve"> Fire Control received </w:t>
            </w:r>
            <w:r w:rsidR="00DE63BC">
              <w:t>5771</w:t>
            </w:r>
            <w:r>
              <w:t xml:space="preserve"> emergency calls.  This was 69</w:t>
            </w:r>
            <w:r w:rsidR="00DE63BC">
              <w:t>8</w:t>
            </w:r>
            <w:r>
              <w:t xml:space="preserve"> less calls than</w:t>
            </w:r>
            <w:r w:rsidRPr="008A7A59">
              <w:t xml:space="preserve"> </w:t>
            </w:r>
            <w:r>
              <w:t xml:space="preserve">this time </w:t>
            </w:r>
            <w:r w:rsidRPr="008A7A59">
              <w:t>last year</w:t>
            </w:r>
            <w:r>
              <w:t>, when 6</w:t>
            </w:r>
            <w:r w:rsidR="00DE63BC">
              <w:t>469</w:t>
            </w:r>
            <w:r w:rsidRPr="008A7A59">
              <w:t xml:space="preserve"> calls were received.  </w:t>
            </w:r>
          </w:p>
          <w:p w14:paraId="3BEB9D68" w14:textId="77777777" w:rsidR="003072CA" w:rsidRDefault="00E063DA" w:rsidP="003160D7"/>
          <w:p w14:paraId="59026AFB" w14:textId="456C6A72" w:rsidR="00573A9F" w:rsidRDefault="00DE63BC" w:rsidP="003160D7">
            <w:r>
              <w:t>June</w:t>
            </w:r>
            <w:r w:rsidR="0054252B">
              <w:t xml:space="preserve"> saw a higher number of calls (2</w:t>
            </w:r>
            <w:r w:rsidR="00E063DA">
              <w:t>279</w:t>
            </w:r>
            <w:r w:rsidR="0054252B">
              <w:t xml:space="preserve">) than </w:t>
            </w:r>
            <w:r w:rsidR="00E063DA">
              <w:t>April</w:t>
            </w:r>
            <w:r w:rsidR="0054252B">
              <w:t xml:space="preserve"> (</w:t>
            </w:r>
            <w:r w:rsidR="00E063DA">
              <w:t>1849</w:t>
            </w:r>
            <w:r w:rsidR="0054252B">
              <w:t xml:space="preserve">) or </w:t>
            </w:r>
            <w:r w:rsidR="00E063DA">
              <w:t>May</w:t>
            </w:r>
            <w:r w:rsidR="0054252B">
              <w:t xml:space="preserve"> (</w:t>
            </w:r>
            <w:r w:rsidR="00E063DA">
              <w:t>1643</w:t>
            </w:r>
            <w:r w:rsidR="0054252B">
              <w:t>).  This increase in calls is reflected in the number of fires attended.</w:t>
            </w:r>
          </w:p>
          <w:p w14:paraId="4CCF14F8" w14:textId="77777777" w:rsidR="003072CA" w:rsidRPr="008A7A59" w:rsidRDefault="00E063DA" w:rsidP="003160D7"/>
          <w:p w14:paraId="3F645C9D" w14:textId="77777777" w:rsidR="003160D7" w:rsidRDefault="0054252B" w:rsidP="003160D7">
            <w:r w:rsidRPr="008A7A59">
              <w:t>This indicator does not have a target it is monitored for quality assurance only.</w:t>
            </w:r>
          </w:p>
          <w:p w14:paraId="0841C9CE" w14:textId="77777777" w:rsidR="003072CA" w:rsidRPr="008A7A59" w:rsidRDefault="00E063DA" w:rsidP="003160D7"/>
        </w:tc>
      </w:tr>
      <w:tr w:rsidR="00C561B1" w14:paraId="2358BA23" w14:textId="77777777" w:rsidTr="003160D7">
        <w:tc>
          <w:tcPr>
            <w:tcW w:w="2586" w:type="dxa"/>
          </w:tcPr>
          <w:p w14:paraId="7798D33B" w14:textId="77777777" w:rsidR="003160D7" w:rsidRDefault="00E063DA" w:rsidP="003160D7"/>
          <w:p w14:paraId="3CEC63AA" w14:textId="77777777" w:rsidR="003160D7" w:rsidRDefault="0054252B" w:rsidP="003160D7">
            <w:r>
              <w:t>DO22</w:t>
            </w:r>
          </w:p>
        </w:tc>
        <w:tc>
          <w:tcPr>
            <w:tcW w:w="7860" w:type="dxa"/>
            <w:gridSpan w:val="6"/>
          </w:tcPr>
          <w:p w14:paraId="53B83385" w14:textId="068C4DE1" w:rsidR="003160D7" w:rsidRDefault="0054252B" w:rsidP="003160D7">
            <w:r>
              <w:t>Cumulatively 9</w:t>
            </w:r>
            <w:r w:rsidR="00E063DA">
              <w:t>7.6</w:t>
            </w:r>
            <w:r>
              <w:t xml:space="preserve">% of 999 calls were answered within 10 seconds.  This performance </w:t>
            </w:r>
            <w:r w:rsidR="00E063DA">
              <w:t>achieves</w:t>
            </w:r>
            <w:r>
              <w:t xml:space="preserve"> the 96% target.  </w:t>
            </w:r>
          </w:p>
          <w:p w14:paraId="5C9D4916" w14:textId="77777777" w:rsidR="003F54B2" w:rsidRDefault="00E063DA" w:rsidP="003160D7"/>
          <w:p w14:paraId="1909ADAE" w14:textId="77777777" w:rsidR="003072CA" w:rsidRDefault="00E063DA" w:rsidP="003160D7"/>
        </w:tc>
      </w:tr>
      <w:tr w:rsidR="00C561B1" w14:paraId="27B6E178" w14:textId="77777777" w:rsidTr="003160D7">
        <w:tc>
          <w:tcPr>
            <w:tcW w:w="10446" w:type="dxa"/>
            <w:gridSpan w:val="7"/>
            <w:shd w:val="clear" w:color="auto" w:fill="5B9BD5" w:themeFill="accent1"/>
          </w:tcPr>
          <w:p w14:paraId="1DE9A6F6" w14:textId="77777777" w:rsidR="003160D7" w:rsidRPr="005F20DB" w:rsidRDefault="0054252B">
            <w:pPr>
              <w:rPr>
                <w:b/>
                <w:color w:val="FFFF00"/>
                <w:sz w:val="28"/>
                <w:szCs w:val="28"/>
              </w:rPr>
            </w:pPr>
            <w:r w:rsidRPr="00681F4B">
              <w:rPr>
                <w:b/>
                <w:color w:val="FFFFFF" w:themeColor="background1"/>
                <w:sz w:val="28"/>
                <w:szCs w:val="28"/>
              </w:rPr>
              <w:lastRenderedPageBreak/>
              <w:t>TC01 The total number of incidents attended</w:t>
            </w:r>
          </w:p>
        </w:tc>
      </w:tr>
      <w:tr w:rsidR="00C561B1" w14:paraId="5BCC90BE" w14:textId="77777777" w:rsidTr="00AB1D40">
        <w:tc>
          <w:tcPr>
            <w:tcW w:w="2835" w:type="dxa"/>
            <w:gridSpan w:val="2"/>
            <w:shd w:val="clear" w:color="auto" w:fill="FFFF00"/>
            <w:vAlign w:val="center"/>
          </w:tcPr>
          <w:p w14:paraId="2DF4719E" w14:textId="77777777" w:rsidR="003160D7" w:rsidRDefault="0054252B" w:rsidP="003160D7">
            <w:pPr>
              <w:jc w:val="center"/>
            </w:pPr>
            <w:r>
              <w:t xml:space="preserve">Service Plan </w:t>
            </w:r>
            <w:r w:rsidRPr="00C63E5E">
              <w:t>Target</w:t>
            </w:r>
          </w:p>
          <w:p w14:paraId="15B776A5" w14:textId="443C4A02" w:rsidR="003160D7" w:rsidRDefault="0054252B" w:rsidP="003160D7">
            <w:pPr>
              <w:jc w:val="center"/>
            </w:pPr>
            <w:r>
              <w:t xml:space="preserve">Apr-June </w:t>
            </w:r>
            <w:r w:rsidR="00BD5E8A">
              <w:t>2023</w:t>
            </w:r>
          </w:p>
        </w:tc>
        <w:tc>
          <w:tcPr>
            <w:tcW w:w="2518" w:type="dxa"/>
            <w:gridSpan w:val="2"/>
            <w:shd w:val="clear" w:color="auto" w:fill="D9E2F3" w:themeFill="accent5" w:themeFillTint="33"/>
            <w:vAlign w:val="center"/>
          </w:tcPr>
          <w:p w14:paraId="3A4F4CEB" w14:textId="389E5312" w:rsidR="003160D7" w:rsidRPr="004D4B15" w:rsidRDefault="0054252B" w:rsidP="003160D7">
            <w:pPr>
              <w:jc w:val="center"/>
              <w:rPr>
                <w:b/>
              </w:rPr>
            </w:pPr>
            <w:r>
              <w:rPr>
                <w:b/>
              </w:rPr>
              <w:t>5</w:t>
            </w:r>
            <w:r w:rsidR="00A25B0A">
              <w:rPr>
                <w:b/>
              </w:rPr>
              <w:t>168</w:t>
            </w:r>
          </w:p>
        </w:tc>
        <w:tc>
          <w:tcPr>
            <w:tcW w:w="2434" w:type="dxa"/>
            <w:shd w:val="clear" w:color="auto" w:fill="FFFF00"/>
            <w:vAlign w:val="center"/>
          </w:tcPr>
          <w:p w14:paraId="0F4696F6" w14:textId="77777777" w:rsidR="003160D7" w:rsidRDefault="0054252B" w:rsidP="003160D7">
            <w:pPr>
              <w:jc w:val="center"/>
            </w:pPr>
            <w:r w:rsidRPr="00C63E5E">
              <w:t>Progress to Date</w:t>
            </w:r>
          </w:p>
        </w:tc>
        <w:tc>
          <w:tcPr>
            <w:tcW w:w="2659" w:type="dxa"/>
            <w:gridSpan w:val="2"/>
            <w:shd w:val="clear" w:color="auto" w:fill="00B050"/>
            <w:vAlign w:val="center"/>
          </w:tcPr>
          <w:p w14:paraId="221A08B3" w14:textId="3A2B3486" w:rsidR="003160D7" w:rsidRPr="00302A5A" w:rsidRDefault="0054252B" w:rsidP="003160D7">
            <w:pPr>
              <w:jc w:val="center"/>
              <w:rPr>
                <w:b/>
                <w:color w:val="00B050"/>
              </w:rPr>
            </w:pPr>
            <w:r w:rsidRPr="00E063DA">
              <w:rPr>
                <w:b/>
              </w:rPr>
              <w:t>4</w:t>
            </w:r>
            <w:r w:rsidR="00A25B0A" w:rsidRPr="00E063DA">
              <w:rPr>
                <w:b/>
              </w:rPr>
              <w:t>941</w:t>
            </w:r>
          </w:p>
        </w:tc>
      </w:tr>
      <w:tr w:rsidR="00C561B1" w14:paraId="29DE9532" w14:textId="77777777" w:rsidTr="00A32889">
        <w:tc>
          <w:tcPr>
            <w:tcW w:w="10446" w:type="dxa"/>
            <w:gridSpan w:val="7"/>
          </w:tcPr>
          <w:p w14:paraId="51D9C16F" w14:textId="69DBC55C" w:rsidR="003160D7" w:rsidRDefault="00A32889" w:rsidP="00935CB8">
            <w:pPr>
              <w:jc w:val="center"/>
              <w:rPr>
                <w:noProof/>
                <w:lang w:eastAsia="en-GB"/>
              </w:rPr>
            </w:pPr>
            <w:r>
              <w:rPr>
                <w:noProof/>
              </w:rPr>
              <w:drawing>
                <wp:inline distT="0" distB="0" distL="0" distR="0" wp14:anchorId="2F2F3B4E" wp14:editId="4202F3DB">
                  <wp:extent cx="5770800" cy="2658717"/>
                  <wp:effectExtent l="0" t="0" r="1905" b="8890"/>
                  <wp:docPr id="5" name="Chart 5">
                    <a:extLst xmlns:a="http://schemas.openxmlformats.org/drawingml/2006/main">
                      <a:ext uri="{FF2B5EF4-FFF2-40B4-BE49-F238E27FC236}">
                        <a16:creationId xmlns:a16="http://schemas.microsoft.com/office/drawing/2014/main" id="{00000000-0008-0000-06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r>
      <w:tr w:rsidR="00C561B1" w14:paraId="5070E4A5" w14:textId="77777777" w:rsidTr="003160D7">
        <w:tc>
          <w:tcPr>
            <w:tcW w:w="10446" w:type="dxa"/>
            <w:gridSpan w:val="7"/>
            <w:shd w:val="clear" w:color="auto" w:fill="5B9BD5" w:themeFill="accent1"/>
          </w:tcPr>
          <w:p w14:paraId="5B0E58C8" w14:textId="77777777" w:rsidR="003160D7" w:rsidRPr="005359B6" w:rsidRDefault="0054252B">
            <w:pPr>
              <w:rPr>
                <w:b/>
                <w:color w:val="FFFFFF" w:themeColor="background1"/>
              </w:rPr>
            </w:pPr>
            <w:r w:rsidRPr="005359B6">
              <w:rPr>
                <w:b/>
                <w:color w:val="FFFFFF" w:themeColor="background1"/>
              </w:rPr>
              <w:t>Cumulative Performance</w:t>
            </w:r>
          </w:p>
        </w:tc>
      </w:tr>
      <w:tr w:rsidR="00C561B1" w14:paraId="29A2A96F" w14:textId="77777777" w:rsidTr="00A32889">
        <w:trPr>
          <w:trHeight w:val="4201"/>
        </w:trPr>
        <w:tc>
          <w:tcPr>
            <w:tcW w:w="10446" w:type="dxa"/>
            <w:gridSpan w:val="7"/>
          </w:tcPr>
          <w:p w14:paraId="16006EAD" w14:textId="3D9E4454" w:rsidR="003160D7" w:rsidRDefault="00A32889" w:rsidP="003160D7">
            <w:pPr>
              <w:jc w:val="center"/>
              <w:rPr>
                <w:noProof/>
                <w:lang w:eastAsia="en-GB"/>
              </w:rPr>
            </w:pPr>
            <w:r>
              <w:rPr>
                <w:noProof/>
              </w:rPr>
              <w:drawing>
                <wp:inline distT="0" distB="0" distL="0" distR="0" wp14:anchorId="7BB0195F" wp14:editId="2DCA54B6">
                  <wp:extent cx="5770800" cy="2683532"/>
                  <wp:effectExtent l="0" t="0" r="1905" b="2540"/>
                  <wp:docPr id="6" name="Chart 6">
                    <a:extLst xmlns:a="http://schemas.openxmlformats.org/drawingml/2006/main">
                      <a:ext uri="{FF2B5EF4-FFF2-40B4-BE49-F238E27FC236}">
                        <a16:creationId xmlns:a16="http://schemas.microsoft.com/office/drawing/2014/main" id="{00000000-0008-0000-06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r w:rsidR="00C561B1" w14:paraId="2C8CB8FD" w14:textId="77777777" w:rsidTr="00AB1D40">
        <w:trPr>
          <w:trHeight w:val="567"/>
        </w:trPr>
        <w:tc>
          <w:tcPr>
            <w:tcW w:w="5353" w:type="dxa"/>
            <w:gridSpan w:val="4"/>
          </w:tcPr>
          <w:p w14:paraId="604ABED8" w14:textId="77777777" w:rsidR="003160D7" w:rsidRPr="00681F4B" w:rsidRDefault="0054252B" w:rsidP="003160D7">
            <w:pPr>
              <w:rPr>
                <w:b/>
              </w:rPr>
            </w:pPr>
            <w:r w:rsidRPr="00681F4B">
              <w:rPr>
                <w:b/>
              </w:rPr>
              <w:t>TC01 Total number of incidents attended</w:t>
            </w:r>
          </w:p>
          <w:p w14:paraId="2E88552A" w14:textId="77777777" w:rsidR="003160D7" w:rsidRDefault="00E063DA" w:rsidP="003160D7"/>
        </w:tc>
        <w:tc>
          <w:tcPr>
            <w:tcW w:w="5093" w:type="dxa"/>
            <w:gridSpan w:val="3"/>
            <w:shd w:val="clear" w:color="auto" w:fill="00B050"/>
          </w:tcPr>
          <w:p w14:paraId="3F37E6ED" w14:textId="77777777" w:rsidR="003160D7" w:rsidRDefault="00E063DA" w:rsidP="003160D7"/>
          <w:p w14:paraId="5EA2F48D" w14:textId="77777777" w:rsidR="003160D7" w:rsidRDefault="00E063DA" w:rsidP="003160D7"/>
        </w:tc>
      </w:tr>
      <w:tr w:rsidR="00C561B1" w14:paraId="759CC00C" w14:textId="77777777" w:rsidTr="003160D7">
        <w:tc>
          <w:tcPr>
            <w:tcW w:w="2835" w:type="dxa"/>
            <w:gridSpan w:val="2"/>
          </w:tcPr>
          <w:p w14:paraId="2DA18DBD" w14:textId="77777777" w:rsidR="003160D7" w:rsidRDefault="00E063DA" w:rsidP="003160D7"/>
          <w:p w14:paraId="29C75E9C" w14:textId="77777777" w:rsidR="003160D7" w:rsidRDefault="0054252B" w:rsidP="003160D7">
            <w:r>
              <w:t>TC01</w:t>
            </w:r>
          </w:p>
        </w:tc>
        <w:tc>
          <w:tcPr>
            <w:tcW w:w="7611" w:type="dxa"/>
            <w:gridSpan w:val="5"/>
          </w:tcPr>
          <w:p w14:paraId="60853D11" w14:textId="0A1F3891" w:rsidR="00670DAB" w:rsidRDefault="0054252B" w:rsidP="003160D7">
            <w:r>
              <w:t xml:space="preserve">Performance against all key performance indicators (KPI’s) has remained under target except </w:t>
            </w:r>
            <w:r w:rsidR="00151B41">
              <w:t>false alarms and special service calls</w:t>
            </w:r>
            <w:r>
              <w:t xml:space="preserve"> during this reporting period. </w:t>
            </w:r>
            <w:r w:rsidR="00151B41">
              <w:t xml:space="preserve">  We do not want to discourage or reduce either of these incident types.</w:t>
            </w:r>
            <w:r>
              <w:t xml:space="preserve">  </w:t>
            </w:r>
          </w:p>
          <w:p w14:paraId="7284B06E" w14:textId="77777777" w:rsidR="00670DAB" w:rsidRDefault="00E063DA" w:rsidP="003160D7"/>
          <w:p w14:paraId="67716472" w14:textId="4495E5CB" w:rsidR="003160D7" w:rsidRDefault="0054252B" w:rsidP="003160D7">
            <w:r>
              <w:t xml:space="preserve">Weather was lot drier than usual during </w:t>
            </w:r>
            <w:proofErr w:type="spellStart"/>
            <w:r w:rsidR="00151B41">
              <w:t>mid May</w:t>
            </w:r>
            <w:proofErr w:type="spellEnd"/>
            <w:r w:rsidR="00151B41">
              <w:t xml:space="preserve"> to the end of June</w:t>
            </w:r>
            <w:r>
              <w:t xml:space="preserve"> which could be a contributory factor to the </w:t>
            </w:r>
            <w:r w:rsidR="00151B41">
              <w:t>increase in</w:t>
            </w:r>
            <w:r>
              <w:t xml:space="preserve"> </w:t>
            </w:r>
            <w:r w:rsidR="00151B41">
              <w:t>fire</w:t>
            </w:r>
            <w:r>
              <w:t xml:space="preserve"> incidents</w:t>
            </w:r>
            <w:r w:rsidR="00151B41">
              <w:t xml:space="preserve"> such as secondary fires.</w:t>
            </w:r>
          </w:p>
          <w:p w14:paraId="04274641" w14:textId="77777777" w:rsidR="003160D7" w:rsidRDefault="00E063DA" w:rsidP="003160D7"/>
          <w:p w14:paraId="71BEE11C" w14:textId="7D2DAA29" w:rsidR="0043152B" w:rsidRDefault="00151B41" w:rsidP="0043152B">
            <w:r>
              <w:t>During this period there have been 69 more incidents</w:t>
            </w:r>
            <w:r w:rsidR="00DE63BC">
              <w:t xml:space="preserve"> attended</w:t>
            </w:r>
            <w:r>
              <w:t xml:space="preserve"> (4941) than at this time last year (4872).</w:t>
            </w:r>
          </w:p>
          <w:p w14:paraId="42CEE389" w14:textId="77777777" w:rsidR="00A11959" w:rsidRDefault="00E063DA" w:rsidP="0043152B"/>
          <w:p w14:paraId="15FBDC0F" w14:textId="13F6CE9E" w:rsidR="0043152B" w:rsidRDefault="0054252B" w:rsidP="0043152B">
            <w:r>
              <w:t>The number of Special Service incidents attended (1</w:t>
            </w:r>
            <w:r w:rsidR="00151B41">
              <w:t>307</w:t>
            </w:r>
            <w:r>
              <w:t>) when compared to previous years (1</w:t>
            </w:r>
            <w:r w:rsidR="00151B41">
              <w:t>243</w:t>
            </w:r>
            <w:r>
              <w:t xml:space="preserve"> in the first quarter of 202</w:t>
            </w:r>
            <w:r w:rsidR="00151B41">
              <w:t>2</w:t>
            </w:r>
            <w:r>
              <w:t>-2</w:t>
            </w:r>
            <w:r w:rsidR="00151B41">
              <w:t>3</w:t>
            </w:r>
            <w:r>
              <w:t>) continue to increase, this is</w:t>
            </w:r>
            <w:r w:rsidR="00DE63BC">
              <w:t xml:space="preserve">, in part, </w:t>
            </w:r>
            <w:r>
              <w:t xml:space="preserve">due to </w:t>
            </w:r>
            <w:r w:rsidR="00DE63BC">
              <w:t>M</w:t>
            </w:r>
            <w:r>
              <w:t xml:space="preserve">FRS assisting partner agencies on a more regular basis.  </w:t>
            </w:r>
          </w:p>
          <w:p w14:paraId="7A35E464" w14:textId="77777777" w:rsidR="003160D7" w:rsidRDefault="00E063DA" w:rsidP="003160D7"/>
          <w:p w14:paraId="0087D255" w14:textId="77777777" w:rsidR="003160D7" w:rsidRDefault="00E063DA" w:rsidP="00A11959"/>
        </w:tc>
      </w:tr>
    </w:tbl>
    <w:p w14:paraId="19807CE8" w14:textId="77777777" w:rsidR="003160D7" w:rsidRDefault="00E063DA"/>
    <w:tbl>
      <w:tblPr>
        <w:tblStyle w:val="TableGrid"/>
        <w:tblW w:w="10493"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835"/>
        <w:gridCol w:w="2235"/>
        <w:gridCol w:w="3141"/>
        <w:gridCol w:w="2282"/>
      </w:tblGrid>
      <w:tr w:rsidR="00C561B1" w14:paraId="6D3772DE" w14:textId="77777777" w:rsidTr="003160D7">
        <w:tc>
          <w:tcPr>
            <w:tcW w:w="10493" w:type="dxa"/>
            <w:gridSpan w:val="4"/>
            <w:shd w:val="clear" w:color="auto" w:fill="5B9BD5" w:themeFill="accent1"/>
          </w:tcPr>
          <w:p w14:paraId="7144888D" w14:textId="77777777" w:rsidR="003160D7" w:rsidRPr="005F20DB" w:rsidRDefault="0054252B" w:rsidP="003160D7">
            <w:pPr>
              <w:rPr>
                <w:b/>
                <w:color w:val="FFFF00"/>
                <w:sz w:val="28"/>
                <w:szCs w:val="28"/>
              </w:rPr>
            </w:pPr>
            <w:r w:rsidRPr="00681F4B">
              <w:rPr>
                <w:b/>
                <w:color w:val="FFFFFF" w:themeColor="background1"/>
                <w:sz w:val="28"/>
                <w:szCs w:val="28"/>
              </w:rPr>
              <w:lastRenderedPageBreak/>
              <w:t>TC02 Total number of fires attended in Merseyside</w:t>
            </w:r>
          </w:p>
        </w:tc>
      </w:tr>
      <w:tr w:rsidR="00C561B1" w14:paraId="56016F03" w14:textId="77777777" w:rsidTr="003160D7">
        <w:tc>
          <w:tcPr>
            <w:tcW w:w="2835" w:type="dxa"/>
            <w:shd w:val="clear" w:color="auto" w:fill="FFFF00"/>
            <w:vAlign w:val="center"/>
          </w:tcPr>
          <w:p w14:paraId="033EB35A" w14:textId="77777777" w:rsidR="003160D7" w:rsidRDefault="0054252B" w:rsidP="003160D7">
            <w:pPr>
              <w:jc w:val="center"/>
            </w:pPr>
            <w:r>
              <w:t xml:space="preserve">Service Plan </w:t>
            </w:r>
            <w:r w:rsidRPr="00C63E5E">
              <w:t>Target</w:t>
            </w:r>
          </w:p>
          <w:p w14:paraId="17732B2F" w14:textId="625DD06B" w:rsidR="003160D7" w:rsidRDefault="0054252B" w:rsidP="003160D7">
            <w:pPr>
              <w:jc w:val="center"/>
            </w:pPr>
            <w:r>
              <w:t xml:space="preserve">Apr-June </w:t>
            </w:r>
            <w:r w:rsidR="00BD5E8A">
              <w:t>2023</w:t>
            </w:r>
          </w:p>
        </w:tc>
        <w:tc>
          <w:tcPr>
            <w:tcW w:w="2235" w:type="dxa"/>
            <w:shd w:val="clear" w:color="auto" w:fill="D9E2F3" w:themeFill="accent5" w:themeFillTint="33"/>
            <w:vAlign w:val="center"/>
          </w:tcPr>
          <w:p w14:paraId="384C795A" w14:textId="35A43689" w:rsidR="003160D7" w:rsidRPr="004D4B15" w:rsidRDefault="0054252B" w:rsidP="003160D7">
            <w:pPr>
              <w:jc w:val="center"/>
              <w:rPr>
                <w:b/>
              </w:rPr>
            </w:pPr>
            <w:r>
              <w:rPr>
                <w:b/>
              </w:rPr>
              <w:t>228</w:t>
            </w:r>
            <w:r w:rsidR="00A25B0A">
              <w:rPr>
                <w:b/>
              </w:rPr>
              <w:t>4</w:t>
            </w:r>
          </w:p>
        </w:tc>
        <w:tc>
          <w:tcPr>
            <w:tcW w:w="3141" w:type="dxa"/>
            <w:shd w:val="clear" w:color="auto" w:fill="FFFF00"/>
            <w:vAlign w:val="center"/>
          </w:tcPr>
          <w:p w14:paraId="68D842EA" w14:textId="77777777" w:rsidR="003160D7" w:rsidRDefault="0054252B" w:rsidP="003160D7">
            <w:pPr>
              <w:jc w:val="center"/>
            </w:pPr>
            <w:r w:rsidRPr="00C63E5E">
              <w:t>Progress to Date</w:t>
            </w:r>
          </w:p>
        </w:tc>
        <w:tc>
          <w:tcPr>
            <w:tcW w:w="2282" w:type="dxa"/>
            <w:shd w:val="clear" w:color="auto" w:fill="00B050"/>
            <w:vAlign w:val="center"/>
          </w:tcPr>
          <w:p w14:paraId="4B8C0750" w14:textId="7C2C07CA" w:rsidR="003160D7" w:rsidRPr="00195C25" w:rsidRDefault="0054252B" w:rsidP="003160D7">
            <w:pPr>
              <w:jc w:val="center"/>
              <w:rPr>
                <w:b/>
              </w:rPr>
            </w:pPr>
            <w:r w:rsidRPr="00E063DA">
              <w:rPr>
                <w:b/>
              </w:rPr>
              <w:t>2</w:t>
            </w:r>
            <w:r w:rsidR="00A25B0A" w:rsidRPr="00E063DA">
              <w:rPr>
                <w:b/>
              </w:rPr>
              <w:t>028</w:t>
            </w:r>
          </w:p>
        </w:tc>
      </w:tr>
      <w:tr w:rsidR="00C561B1" w14:paraId="52AD591C" w14:textId="77777777" w:rsidTr="00A32889">
        <w:tc>
          <w:tcPr>
            <w:tcW w:w="10493" w:type="dxa"/>
            <w:gridSpan w:val="4"/>
          </w:tcPr>
          <w:p w14:paraId="100CB5F6" w14:textId="665D7FA5" w:rsidR="003160D7" w:rsidRDefault="00A32889" w:rsidP="00F8744C">
            <w:pPr>
              <w:jc w:val="center"/>
              <w:rPr>
                <w:noProof/>
                <w:lang w:eastAsia="en-GB"/>
              </w:rPr>
            </w:pPr>
            <w:r>
              <w:rPr>
                <w:noProof/>
              </w:rPr>
              <w:drawing>
                <wp:inline distT="0" distB="0" distL="0" distR="0" wp14:anchorId="2BF6BAD4" wp14:editId="336A2158">
                  <wp:extent cx="5770800" cy="2658717"/>
                  <wp:effectExtent l="0" t="0" r="1905" b="8890"/>
                  <wp:docPr id="8" name="Chart 8">
                    <a:extLst xmlns:a="http://schemas.openxmlformats.org/drawingml/2006/main">
                      <a:ext uri="{FF2B5EF4-FFF2-40B4-BE49-F238E27FC236}">
                        <a16:creationId xmlns:a16="http://schemas.microsoft.com/office/drawing/2014/main" id="{00000000-0008-0000-06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r w:rsidR="00C561B1" w14:paraId="462C66DD" w14:textId="77777777" w:rsidTr="003160D7">
        <w:tc>
          <w:tcPr>
            <w:tcW w:w="10493" w:type="dxa"/>
            <w:gridSpan w:val="4"/>
            <w:shd w:val="clear" w:color="auto" w:fill="5B9BD5" w:themeFill="accent1"/>
          </w:tcPr>
          <w:p w14:paraId="5F407098" w14:textId="77777777" w:rsidR="003160D7" w:rsidRPr="005359B6" w:rsidRDefault="0054252B" w:rsidP="003160D7">
            <w:pPr>
              <w:rPr>
                <w:b/>
                <w:color w:val="FFFFFF" w:themeColor="background1"/>
              </w:rPr>
            </w:pPr>
            <w:r w:rsidRPr="005359B6">
              <w:rPr>
                <w:b/>
                <w:color w:val="FFFFFF" w:themeColor="background1"/>
              </w:rPr>
              <w:t>Cumulative Performance</w:t>
            </w:r>
          </w:p>
        </w:tc>
      </w:tr>
      <w:tr w:rsidR="00C561B1" w14:paraId="45B3A2D6" w14:textId="77777777" w:rsidTr="00A32889">
        <w:tc>
          <w:tcPr>
            <w:tcW w:w="10493" w:type="dxa"/>
            <w:gridSpan w:val="4"/>
          </w:tcPr>
          <w:p w14:paraId="3072F87D" w14:textId="141ABABB" w:rsidR="003160D7" w:rsidRDefault="00A32889" w:rsidP="00F8744C">
            <w:pPr>
              <w:jc w:val="center"/>
              <w:rPr>
                <w:noProof/>
                <w:lang w:eastAsia="en-GB"/>
              </w:rPr>
            </w:pPr>
            <w:r>
              <w:rPr>
                <w:noProof/>
              </w:rPr>
              <w:drawing>
                <wp:inline distT="0" distB="0" distL="0" distR="0" wp14:anchorId="607A49E9" wp14:editId="4E724F67">
                  <wp:extent cx="5770800" cy="2669925"/>
                  <wp:effectExtent l="0" t="0" r="1905" b="16510"/>
                  <wp:docPr id="9" name="Chart 9">
                    <a:extLst xmlns:a="http://schemas.openxmlformats.org/drawingml/2006/main">
                      <a:ext uri="{FF2B5EF4-FFF2-40B4-BE49-F238E27FC236}">
                        <a16:creationId xmlns:a16="http://schemas.microsoft.com/office/drawing/2014/main" id="{00000000-0008-0000-06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r w:rsidR="00C561B1" w14:paraId="09E80543" w14:textId="77777777" w:rsidTr="003160D7">
        <w:trPr>
          <w:trHeight w:val="567"/>
        </w:trPr>
        <w:tc>
          <w:tcPr>
            <w:tcW w:w="5070" w:type="dxa"/>
            <w:gridSpan w:val="2"/>
          </w:tcPr>
          <w:p w14:paraId="177AB3E7" w14:textId="77777777" w:rsidR="003160D7" w:rsidRPr="004B0F95" w:rsidRDefault="0054252B" w:rsidP="003160D7">
            <w:pPr>
              <w:rPr>
                <w:b/>
              </w:rPr>
            </w:pPr>
            <w:r w:rsidRPr="004B0F95">
              <w:rPr>
                <w:b/>
              </w:rPr>
              <w:t>TC02 Total number of Fires attended in Merseyside</w:t>
            </w:r>
          </w:p>
          <w:p w14:paraId="59545552" w14:textId="77777777" w:rsidR="003160D7" w:rsidRDefault="00E063DA" w:rsidP="003160D7"/>
        </w:tc>
        <w:tc>
          <w:tcPr>
            <w:tcW w:w="5423" w:type="dxa"/>
            <w:gridSpan w:val="2"/>
            <w:shd w:val="clear" w:color="auto" w:fill="00B050"/>
          </w:tcPr>
          <w:p w14:paraId="135A11AB" w14:textId="77777777" w:rsidR="003160D7" w:rsidRDefault="00E063DA" w:rsidP="003160D7"/>
          <w:p w14:paraId="01648FA9" w14:textId="77777777" w:rsidR="003160D7" w:rsidRDefault="00E063DA" w:rsidP="003160D7"/>
        </w:tc>
      </w:tr>
      <w:tr w:rsidR="00C561B1" w14:paraId="46918723" w14:textId="77777777" w:rsidTr="003160D7">
        <w:tc>
          <w:tcPr>
            <w:tcW w:w="2835" w:type="dxa"/>
          </w:tcPr>
          <w:p w14:paraId="251E9E07" w14:textId="77777777" w:rsidR="003160D7" w:rsidRDefault="00E063DA" w:rsidP="003160D7"/>
          <w:p w14:paraId="22A14AD9" w14:textId="77777777" w:rsidR="003160D7" w:rsidRPr="004B0F95" w:rsidRDefault="0054252B" w:rsidP="003160D7">
            <w:pPr>
              <w:rPr>
                <w:b/>
              </w:rPr>
            </w:pPr>
            <w:r w:rsidRPr="00376821">
              <w:rPr>
                <w:b/>
              </w:rPr>
              <w:t>TC02</w:t>
            </w:r>
          </w:p>
        </w:tc>
        <w:tc>
          <w:tcPr>
            <w:tcW w:w="7658" w:type="dxa"/>
            <w:gridSpan w:val="3"/>
          </w:tcPr>
          <w:p w14:paraId="20C12FED" w14:textId="01E07D7A" w:rsidR="00CC6A00" w:rsidRDefault="0054252B" w:rsidP="00670DAB">
            <w:r>
              <w:t>Crews attended 2</w:t>
            </w:r>
            <w:r w:rsidR="001F426D">
              <w:t>028</w:t>
            </w:r>
            <w:r>
              <w:t xml:space="preserve"> fires during April to June </w:t>
            </w:r>
            <w:r w:rsidR="00BD5E8A">
              <w:t>2023</w:t>
            </w:r>
            <w:r>
              <w:t>.  This is 1</w:t>
            </w:r>
            <w:r w:rsidR="001F426D">
              <w:t>44</w:t>
            </w:r>
            <w:r>
              <w:t xml:space="preserve"> less than in 202</w:t>
            </w:r>
            <w:r w:rsidR="001F426D">
              <w:t>2</w:t>
            </w:r>
            <w:r>
              <w:t xml:space="preserve"> (2</w:t>
            </w:r>
            <w:r w:rsidR="001F426D">
              <w:t>2172</w:t>
            </w:r>
            <w:r>
              <w:t xml:space="preserve">) </w:t>
            </w:r>
            <w:proofErr w:type="gramStart"/>
            <w:r>
              <w:t>and also</w:t>
            </w:r>
            <w:proofErr w:type="gramEnd"/>
            <w:r>
              <w:t xml:space="preserve"> below the cumulative target of </w:t>
            </w:r>
            <w:r w:rsidR="001F426D">
              <w:t>2284</w:t>
            </w:r>
            <w:r>
              <w:t>.</w:t>
            </w:r>
          </w:p>
          <w:p w14:paraId="2E586510" w14:textId="77777777" w:rsidR="00670DAB" w:rsidRDefault="00E063DA" w:rsidP="00670DAB"/>
          <w:p w14:paraId="1029DD5C" w14:textId="1CA95633" w:rsidR="00CC6A00" w:rsidRDefault="001F426D" w:rsidP="003160D7">
            <w:r>
              <w:t>As the weather became warmer from mid may to the end of June the number of fires increased April (611), May (665) and June (750).  Incidents have fallen again in July.</w:t>
            </w:r>
          </w:p>
          <w:p w14:paraId="311DD9A4" w14:textId="77777777" w:rsidR="00CC6A00" w:rsidRDefault="00E063DA" w:rsidP="003160D7"/>
          <w:p w14:paraId="61334826" w14:textId="77777777" w:rsidR="003160D7" w:rsidRDefault="0054252B" w:rsidP="003160D7">
            <w:r>
              <w:t>Arson teams and high visibility patrols alongside our targeted prevention work continue to improve outcomes for the Service.</w:t>
            </w:r>
          </w:p>
          <w:p w14:paraId="0763BAA7" w14:textId="77777777" w:rsidR="00373821" w:rsidRDefault="00E063DA" w:rsidP="003160D7"/>
          <w:p w14:paraId="17FC5690" w14:textId="77777777" w:rsidR="00573A9F" w:rsidRDefault="00E063DA" w:rsidP="003160D7"/>
        </w:tc>
      </w:tr>
    </w:tbl>
    <w:p w14:paraId="57FA25BA" w14:textId="77777777" w:rsidR="003160D7" w:rsidRDefault="00E063DA"/>
    <w:p w14:paraId="32862C82" w14:textId="77777777" w:rsidR="00573A9F" w:rsidRDefault="00E063DA"/>
    <w:p w14:paraId="60664C32" w14:textId="77777777" w:rsidR="00670DAB" w:rsidRDefault="00E063DA"/>
    <w:p w14:paraId="4F85F341" w14:textId="77777777" w:rsidR="00670DAB" w:rsidRDefault="00E063DA"/>
    <w:tbl>
      <w:tblPr>
        <w:tblStyle w:val="TableGrid"/>
        <w:tblW w:w="10550" w:type="dxa"/>
        <w:tblInd w:w="-7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179"/>
        <w:gridCol w:w="88"/>
        <w:gridCol w:w="2008"/>
        <w:gridCol w:w="434"/>
        <w:gridCol w:w="2936"/>
        <w:gridCol w:w="1905"/>
      </w:tblGrid>
      <w:tr w:rsidR="00C561B1" w14:paraId="6E24BBC0" w14:textId="77777777" w:rsidTr="003160D7">
        <w:tc>
          <w:tcPr>
            <w:tcW w:w="10550" w:type="dxa"/>
            <w:gridSpan w:val="6"/>
            <w:shd w:val="clear" w:color="auto" w:fill="5B9BD5" w:themeFill="accent1"/>
          </w:tcPr>
          <w:p w14:paraId="60D1DD54" w14:textId="77777777" w:rsidR="003160D7" w:rsidRPr="005F20DB" w:rsidRDefault="0054252B" w:rsidP="003160D7">
            <w:pPr>
              <w:rPr>
                <w:b/>
                <w:color w:val="FFFF00"/>
                <w:sz w:val="28"/>
                <w:szCs w:val="28"/>
              </w:rPr>
            </w:pPr>
            <w:r w:rsidRPr="00681F4B">
              <w:rPr>
                <w:b/>
                <w:color w:val="FFFFFF" w:themeColor="background1"/>
                <w:sz w:val="28"/>
                <w:szCs w:val="28"/>
              </w:rPr>
              <w:t>TC03 Total number of primary fires attended</w:t>
            </w:r>
          </w:p>
        </w:tc>
      </w:tr>
      <w:tr w:rsidR="00C561B1" w14:paraId="0423C5D1" w14:textId="77777777" w:rsidTr="003160D7">
        <w:tc>
          <w:tcPr>
            <w:tcW w:w="3267" w:type="dxa"/>
            <w:gridSpan w:val="2"/>
            <w:shd w:val="clear" w:color="auto" w:fill="FFFF00"/>
            <w:vAlign w:val="center"/>
          </w:tcPr>
          <w:p w14:paraId="1243A598" w14:textId="77777777" w:rsidR="003160D7" w:rsidRDefault="0054252B" w:rsidP="003160D7">
            <w:pPr>
              <w:jc w:val="center"/>
            </w:pPr>
            <w:r w:rsidRPr="00C63E5E">
              <w:t>Service Plan Target</w:t>
            </w:r>
          </w:p>
          <w:p w14:paraId="483480F9" w14:textId="6C8A7964" w:rsidR="003160D7" w:rsidRDefault="0054252B" w:rsidP="003160D7">
            <w:pPr>
              <w:jc w:val="center"/>
            </w:pPr>
            <w:r>
              <w:t xml:space="preserve">Apr-June </w:t>
            </w:r>
            <w:r w:rsidR="00BD5E8A">
              <w:t>2023</w:t>
            </w:r>
          </w:p>
        </w:tc>
        <w:tc>
          <w:tcPr>
            <w:tcW w:w="2442" w:type="dxa"/>
            <w:gridSpan w:val="2"/>
            <w:shd w:val="clear" w:color="auto" w:fill="D9E2F3" w:themeFill="accent5" w:themeFillTint="33"/>
            <w:vAlign w:val="center"/>
          </w:tcPr>
          <w:p w14:paraId="2144B89C" w14:textId="1F929DB0" w:rsidR="003160D7" w:rsidRPr="004D4B15" w:rsidRDefault="0054252B" w:rsidP="003160D7">
            <w:pPr>
              <w:jc w:val="center"/>
              <w:rPr>
                <w:b/>
              </w:rPr>
            </w:pPr>
            <w:r>
              <w:rPr>
                <w:b/>
              </w:rPr>
              <w:t>5</w:t>
            </w:r>
            <w:r w:rsidR="00A25B0A">
              <w:rPr>
                <w:b/>
              </w:rPr>
              <w:t>33</w:t>
            </w:r>
          </w:p>
        </w:tc>
        <w:tc>
          <w:tcPr>
            <w:tcW w:w="2936" w:type="dxa"/>
            <w:shd w:val="clear" w:color="auto" w:fill="FFFF00"/>
            <w:vAlign w:val="center"/>
          </w:tcPr>
          <w:p w14:paraId="646AFE94" w14:textId="77777777" w:rsidR="003160D7" w:rsidRDefault="0054252B" w:rsidP="003160D7">
            <w:pPr>
              <w:jc w:val="center"/>
            </w:pPr>
            <w:r w:rsidRPr="00C63E5E">
              <w:t>Progress to Date</w:t>
            </w:r>
          </w:p>
        </w:tc>
        <w:tc>
          <w:tcPr>
            <w:tcW w:w="1905" w:type="dxa"/>
            <w:shd w:val="clear" w:color="auto" w:fill="00B050"/>
            <w:vAlign w:val="center"/>
          </w:tcPr>
          <w:p w14:paraId="77B55FA9" w14:textId="77FC44C9" w:rsidR="003160D7" w:rsidRPr="006C577F" w:rsidRDefault="0054252B" w:rsidP="003160D7">
            <w:pPr>
              <w:jc w:val="center"/>
              <w:rPr>
                <w:b/>
              </w:rPr>
            </w:pPr>
            <w:r w:rsidRPr="00E063DA">
              <w:rPr>
                <w:b/>
              </w:rPr>
              <w:t>4</w:t>
            </w:r>
            <w:r w:rsidR="00A25B0A" w:rsidRPr="00E063DA">
              <w:rPr>
                <w:b/>
              </w:rPr>
              <w:t>25</w:t>
            </w:r>
          </w:p>
        </w:tc>
      </w:tr>
      <w:tr w:rsidR="00C561B1" w14:paraId="26F4385E" w14:textId="77777777" w:rsidTr="00A32889">
        <w:tc>
          <w:tcPr>
            <w:tcW w:w="10550" w:type="dxa"/>
            <w:gridSpan w:val="6"/>
          </w:tcPr>
          <w:p w14:paraId="6B689A4C" w14:textId="5459CB19" w:rsidR="003160D7" w:rsidRDefault="00A32889" w:rsidP="00F8744C">
            <w:pPr>
              <w:jc w:val="center"/>
              <w:rPr>
                <w:noProof/>
                <w:lang w:eastAsia="en-GB"/>
              </w:rPr>
            </w:pPr>
            <w:r>
              <w:rPr>
                <w:noProof/>
              </w:rPr>
              <w:drawing>
                <wp:inline distT="0" distB="0" distL="0" distR="0" wp14:anchorId="13D16077" wp14:editId="626E7BA9">
                  <wp:extent cx="5772150" cy="2660400"/>
                  <wp:effectExtent l="0" t="0" r="0" b="6985"/>
                  <wp:docPr id="10" name="Chart 10">
                    <a:extLst xmlns:a="http://schemas.openxmlformats.org/drawingml/2006/main">
                      <a:ext uri="{FF2B5EF4-FFF2-40B4-BE49-F238E27FC236}">
                        <a16:creationId xmlns:a16="http://schemas.microsoft.com/office/drawing/2014/main" id="{00000000-0008-0000-0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C561B1" w14:paraId="1B23ADE6" w14:textId="77777777" w:rsidTr="003160D7">
        <w:tc>
          <w:tcPr>
            <w:tcW w:w="10550" w:type="dxa"/>
            <w:gridSpan w:val="6"/>
            <w:shd w:val="clear" w:color="auto" w:fill="5B9BD5" w:themeFill="accent1"/>
          </w:tcPr>
          <w:p w14:paraId="02233137" w14:textId="77777777" w:rsidR="003160D7" w:rsidRPr="005359B6" w:rsidRDefault="0054252B" w:rsidP="003160D7">
            <w:pPr>
              <w:rPr>
                <w:b/>
                <w:color w:val="FFFFFF" w:themeColor="background1"/>
              </w:rPr>
            </w:pPr>
            <w:r w:rsidRPr="005359B6">
              <w:rPr>
                <w:b/>
                <w:color w:val="FFFFFF" w:themeColor="background1"/>
              </w:rPr>
              <w:t>Cumulative Performance</w:t>
            </w:r>
          </w:p>
        </w:tc>
      </w:tr>
      <w:tr w:rsidR="00C561B1" w14:paraId="380324E8" w14:textId="77777777" w:rsidTr="00A32889">
        <w:tc>
          <w:tcPr>
            <w:tcW w:w="10550" w:type="dxa"/>
            <w:gridSpan w:val="6"/>
          </w:tcPr>
          <w:p w14:paraId="42D31CC2" w14:textId="43E17FB9" w:rsidR="003160D7" w:rsidRDefault="00A32889" w:rsidP="00F8744C">
            <w:pPr>
              <w:jc w:val="center"/>
              <w:rPr>
                <w:noProof/>
                <w:lang w:eastAsia="en-GB"/>
              </w:rPr>
            </w:pPr>
            <w:r>
              <w:rPr>
                <w:noProof/>
              </w:rPr>
              <w:drawing>
                <wp:inline distT="0" distB="0" distL="0" distR="0" wp14:anchorId="3CEDAD94" wp14:editId="0528EAA6">
                  <wp:extent cx="5770800" cy="2660400"/>
                  <wp:effectExtent l="0" t="0" r="1905" b="6985"/>
                  <wp:docPr id="11" name="Chart 11">
                    <a:extLst xmlns:a="http://schemas.openxmlformats.org/drawingml/2006/main">
                      <a:ext uri="{FF2B5EF4-FFF2-40B4-BE49-F238E27FC236}">
                        <a16:creationId xmlns:a16="http://schemas.microsoft.com/office/drawing/2014/main"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C561B1" w14:paraId="3DD3F5B0" w14:textId="77777777" w:rsidTr="003160D7">
        <w:tc>
          <w:tcPr>
            <w:tcW w:w="5275" w:type="dxa"/>
            <w:gridSpan w:val="3"/>
          </w:tcPr>
          <w:p w14:paraId="6BAB975E" w14:textId="77777777" w:rsidR="003160D7" w:rsidRPr="00631FB9" w:rsidRDefault="0054252B" w:rsidP="003160D7">
            <w:pPr>
              <w:rPr>
                <w:b/>
                <w:sz w:val="24"/>
                <w:szCs w:val="24"/>
              </w:rPr>
            </w:pPr>
            <w:r>
              <w:rPr>
                <w:b/>
                <w:sz w:val="24"/>
                <w:szCs w:val="24"/>
              </w:rPr>
              <w:t xml:space="preserve">TC03 Total number of primary fires attended </w:t>
            </w:r>
          </w:p>
          <w:p w14:paraId="30DAEF1B" w14:textId="77777777" w:rsidR="003160D7" w:rsidRDefault="00E063DA" w:rsidP="003160D7">
            <w:pPr>
              <w:jc w:val="center"/>
              <w:rPr>
                <w:noProof/>
                <w:lang w:eastAsia="en-GB"/>
              </w:rPr>
            </w:pPr>
          </w:p>
        </w:tc>
        <w:tc>
          <w:tcPr>
            <w:tcW w:w="5275" w:type="dxa"/>
            <w:gridSpan w:val="3"/>
            <w:shd w:val="clear" w:color="auto" w:fill="00B050"/>
          </w:tcPr>
          <w:p w14:paraId="5A139F52" w14:textId="77777777" w:rsidR="003160D7" w:rsidRDefault="00E063DA" w:rsidP="003160D7">
            <w:pPr>
              <w:jc w:val="center"/>
              <w:rPr>
                <w:noProof/>
                <w:lang w:eastAsia="en-GB"/>
              </w:rPr>
            </w:pPr>
          </w:p>
        </w:tc>
      </w:tr>
      <w:tr w:rsidR="00C561B1" w14:paraId="11C414DA" w14:textId="77777777" w:rsidTr="003160D7">
        <w:tc>
          <w:tcPr>
            <w:tcW w:w="3179" w:type="dxa"/>
          </w:tcPr>
          <w:p w14:paraId="0785462B" w14:textId="77777777" w:rsidR="003160D7" w:rsidRDefault="0054252B" w:rsidP="003160D7">
            <w:pPr>
              <w:rPr>
                <w:noProof/>
                <w:lang w:eastAsia="en-GB"/>
              </w:rPr>
            </w:pPr>
            <w:r w:rsidRPr="00631FB9">
              <w:rPr>
                <w:b/>
              </w:rPr>
              <w:t>TC03</w:t>
            </w:r>
          </w:p>
        </w:tc>
        <w:tc>
          <w:tcPr>
            <w:tcW w:w="7371" w:type="dxa"/>
            <w:gridSpan w:val="5"/>
          </w:tcPr>
          <w:p w14:paraId="1EE1A24F" w14:textId="1F47576E" w:rsidR="00FA59EE" w:rsidRDefault="0054252B" w:rsidP="00FA59EE">
            <w:r>
              <w:t xml:space="preserve">During the first quarter of </w:t>
            </w:r>
            <w:r w:rsidR="00BD5E8A">
              <w:t>2023</w:t>
            </w:r>
            <w:r>
              <w:t>/2</w:t>
            </w:r>
            <w:r w:rsidR="004F0C38">
              <w:t>4</w:t>
            </w:r>
            <w:r>
              <w:t xml:space="preserve"> crews attended 4</w:t>
            </w:r>
            <w:r w:rsidR="004F0C38">
              <w:t>25</w:t>
            </w:r>
            <w:r>
              <w:t xml:space="preserve"> Primary Fires.   This is </w:t>
            </w:r>
            <w:r w:rsidR="00D84930">
              <w:t>71</w:t>
            </w:r>
            <w:r>
              <w:t xml:space="preserve"> fewer than in 202</w:t>
            </w:r>
            <w:r w:rsidR="00D84930">
              <w:t>2</w:t>
            </w:r>
            <w:r>
              <w:t>/2</w:t>
            </w:r>
            <w:r w:rsidR="00D84930">
              <w:t>3</w:t>
            </w:r>
            <w:r>
              <w:t xml:space="preserve"> (</w:t>
            </w:r>
            <w:r w:rsidR="00D84930">
              <w:t>496</w:t>
            </w:r>
            <w:r>
              <w:t xml:space="preserve">).  </w:t>
            </w:r>
          </w:p>
          <w:p w14:paraId="511C7D80" w14:textId="77777777" w:rsidR="00FA59EE" w:rsidRDefault="00E063DA" w:rsidP="00FA59EE"/>
          <w:p w14:paraId="4D07784F" w14:textId="0EF1E411" w:rsidR="00FA59EE" w:rsidRDefault="0054252B" w:rsidP="00FA59EE">
            <w:r>
              <w:t xml:space="preserve">The number of dwelling fires attended remain less than last year and below cumulative targets.  </w:t>
            </w:r>
          </w:p>
          <w:p w14:paraId="329F3C40" w14:textId="77777777" w:rsidR="003160D7" w:rsidRDefault="00E063DA" w:rsidP="003160D7"/>
          <w:p w14:paraId="21D73D04" w14:textId="1EB5B89F" w:rsidR="009227A5" w:rsidRDefault="0054252B" w:rsidP="003160D7">
            <w:r>
              <w:t xml:space="preserve">Deliberate vehicle fires to date during </w:t>
            </w:r>
            <w:r w:rsidR="00BD5E8A">
              <w:t>2023</w:t>
            </w:r>
            <w:r>
              <w:t>/2</w:t>
            </w:r>
            <w:r w:rsidR="00D84930">
              <w:t>4</w:t>
            </w:r>
            <w:r>
              <w:t xml:space="preserve"> (</w:t>
            </w:r>
            <w:r w:rsidR="00D84930">
              <w:t>67</w:t>
            </w:r>
            <w:r>
              <w:t xml:space="preserve">) have also decreased when compared to </w:t>
            </w:r>
            <w:r w:rsidR="00D84930">
              <w:t>72</w:t>
            </w:r>
            <w:r>
              <w:t xml:space="preserve"> during quarter 1 of 202</w:t>
            </w:r>
            <w:r w:rsidR="00D84930">
              <w:t>2</w:t>
            </w:r>
            <w:r>
              <w:t>/2</w:t>
            </w:r>
            <w:r w:rsidR="00D84930">
              <w:t>3</w:t>
            </w:r>
            <w:r>
              <w:t>.</w:t>
            </w:r>
          </w:p>
          <w:p w14:paraId="594C8D28" w14:textId="77777777" w:rsidR="009227A5" w:rsidRDefault="00E063DA" w:rsidP="003160D7"/>
          <w:p w14:paraId="68D0150A" w14:textId="77777777" w:rsidR="003160D7" w:rsidRDefault="0054252B" w:rsidP="003160D7">
            <w:pPr>
              <w:rPr>
                <w:noProof/>
                <w:lang w:eastAsia="en-GB"/>
              </w:rPr>
            </w:pPr>
            <w:r>
              <w:t xml:space="preserve">Primary fires involve an insurable loss and includes all property related fires, or </w:t>
            </w:r>
            <w:proofErr w:type="gramStart"/>
            <w:r>
              <w:t>large scale</w:t>
            </w:r>
            <w:proofErr w:type="gramEnd"/>
            <w:r>
              <w:t xml:space="preserve"> secondary fires where 5 or more appliances are in attendance.</w:t>
            </w:r>
          </w:p>
        </w:tc>
      </w:tr>
    </w:tbl>
    <w:p w14:paraId="2A60981C" w14:textId="77777777" w:rsidR="003160D7" w:rsidRDefault="00E063DA"/>
    <w:p w14:paraId="56B82464" w14:textId="77777777" w:rsidR="003160D7" w:rsidRDefault="00E063DA"/>
    <w:tbl>
      <w:tblPr>
        <w:tblStyle w:val="TableGrid"/>
        <w:tblW w:w="10692" w:type="dxa"/>
        <w:tblInd w:w="-7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2266"/>
        <w:gridCol w:w="804"/>
        <w:gridCol w:w="2408"/>
        <w:gridCol w:w="3271"/>
        <w:gridCol w:w="1943"/>
      </w:tblGrid>
      <w:tr w:rsidR="00C561B1" w14:paraId="2492465E" w14:textId="77777777" w:rsidTr="003160D7">
        <w:tc>
          <w:tcPr>
            <w:tcW w:w="10692" w:type="dxa"/>
            <w:gridSpan w:val="5"/>
            <w:shd w:val="clear" w:color="auto" w:fill="FFFFFF" w:themeFill="background1"/>
          </w:tcPr>
          <w:tbl>
            <w:tblPr>
              <w:tblStyle w:val="TableGrid"/>
              <w:tblpPr w:leftFromText="180" w:rightFromText="180" w:vertAnchor="text" w:horzAnchor="margin" w:tblpX="-152" w:tblpY="-209"/>
              <w:tblOverlap w:val="never"/>
              <w:tblW w:w="10632"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4A0" w:firstRow="1" w:lastRow="0" w:firstColumn="1" w:lastColumn="0" w:noHBand="0" w:noVBand="1"/>
            </w:tblPr>
            <w:tblGrid>
              <w:gridCol w:w="8647"/>
              <w:gridCol w:w="1985"/>
            </w:tblGrid>
            <w:tr w:rsidR="00C561B1" w14:paraId="3F95B22B" w14:textId="77777777" w:rsidTr="003160D7">
              <w:trPr>
                <w:trHeight w:val="296"/>
              </w:trPr>
              <w:tc>
                <w:tcPr>
                  <w:tcW w:w="8647" w:type="dxa"/>
                  <w:shd w:val="clear" w:color="auto" w:fill="FFFFFF" w:themeFill="background1"/>
                </w:tcPr>
                <w:p w14:paraId="7158EF56" w14:textId="77777777" w:rsidR="003160D7" w:rsidRPr="007A1AAD" w:rsidRDefault="0054252B" w:rsidP="003160D7">
                  <w:pPr>
                    <w:rPr>
                      <w:b/>
                      <w:sz w:val="24"/>
                      <w:szCs w:val="24"/>
                    </w:rPr>
                  </w:pPr>
                  <w:r w:rsidRPr="007A1AAD">
                    <w:rPr>
                      <w:b/>
                      <w:sz w:val="24"/>
                      <w:szCs w:val="24"/>
                    </w:rPr>
                    <w:lastRenderedPageBreak/>
                    <w:t>DC11   Number of accidental dwelling fires</w:t>
                  </w:r>
                </w:p>
              </w:tc>
              <w:tc>
                <w:tcPr>
                  <w:tcW w:w="1985" w:type="dxa"/>
                  <w:shd w:val="clear" w:color="auto" w:fill="00B050"/>
                </w:tcPr>
                <w:p w14:paraId="7BE29C5E" w14:textId="77777777" w:rsidR="003160D7" w:rsidRDefault="00E063DA" w:rsidP="003160D7"/>
              </w:tc>
            </w:tr>
            <w:tr w:rsidR="00C561B1" w14:paraId="2201159A" w14:textId="77777777" w:rsidTr="003160D7">
              <w:trPr>
                <w:trHeight w:val="293"/>
              </w:trPr>
              <w:tc>
                <w:tcPr>
                  <w:tcW w:w="8647" w:type="dxa"/>
                  <w:shd w:val="clear" w:color="auto" w:fill="FFFFFF" w:themeFill="background1"/>
                </w:tcPr>
                <w:p w14:paraId="6CE0E460" w14:textId="77777777" w:rsidR="003160D7" w:rsidRPr="007A1AAD" w:rsidRDefault="0054252B" w:rsidP="003160D7">
                  <w:pPr>
                    <w:rPr>
                      <w:b/>
                      <w:sz w:val="24"/>
                      <w:szCs w:val="24"/>
                    </w:rPr>
                  </w:pPr>
                  <w:r w:rsidRPr="007A1AAD">
                    <w:rPr>
                      <w:b/>
                      <w:sz w:val="24"/>
                      <w:szCs w:val="24"/>
                    </w:rPr>
                    <w:t>DC12   Number of fatalities in accidental dwelling fires</w:t>
                  </w:r>
                </w:p>
              </w:tc>
              <w:tc>
                <w:tcPr>
                  <w:tcW w:w="1985" w:type="dxa"/>
                  <w:shd w:val="clear" w:color="auto" w:fill="00B050"/>
                </w:tcPr>
                <w:p w14:paraId="0AA61F07" w14:textId="77777777" w:rsidR="003160D7" w:rsidRDefault="00E063DA" w:rsidP="003160D7">
                  <w:pPr>
                    <w:rPr>
                      <w:sz w:val="24"/>
                      <w:szCs w:val="24"/>
                    </w:rPr>
                  </w:pPr>
                </w:p>
              </w:tc>
            </w:tr>
            <w:tr w:rsidR="00C561B1" w14:paraId="359AE4FC" w14:textId="77777777" w:rsidTr="003160D7">
              <w:trPr>
                <w:trHeight w:val="293"/>
              </w:trPr>
              <w:tc>
                <w:tcPr>
                  <w:tcW w:w="8647" w:type="dxa"/>
                  <w:shd w:val="clear" w:color="auto" w:fill="FFFFFF" w:themeFill="background1"/>
                </w:tcPr>
                <w:p w14:paraId="1EA6886B" w14:textId="77777777" w:rsidR="003160D7" w:rsidRPr="007A1AAD" w:rsidRDefault="0054252B" w:rsidP="003160D7">
                  <w:pPr>
                    <w:rPr>
                      <w:b/>
                      <w:sz w:val="24"/>
                      <w:szCs w:val="24"/>
                    </w:rPr>
                  </w:pPr>
                  <w:r>
                    <w:rPr>
                      <w:b/>
                      <w:sz w:val="24"/>
                      <w:szCs w:val="24"/>
                    </w:rPr>
                    <w:t>DC13   Number of injuries in</w:t>
                  </w:r>
                  <w:r w:rsidRPr="007A1AAD">
                    <w:rPr>
                      <w:b/>
                      <w:sz w:val="24"/>
                      <w:szCs w:val="24"/>
                    </w:rPr>
                    <w:t xml:space="preserve"> accidental dwelling fires</w:t>
                  </w:r>
                </w:p>
              </w:tc>
              <w:tc>
                <w:tcPr>
                  <w:tcW w:w="1985" w:type="dxa"/>
                  <w:shd w:val="clear" w:color="auto" w:fill="00B050"/>
                </w:tcPr>
                <w:p w14:paraId="75CC31AE" w14:textId="77777777" w:rsidR="003160D7" w:rsidRDefault="00E063DA" w:rsidP="003160D7">
                  <w:pPr>
                    <w:rPr>
                      <w:sz w:val="24"/>
                      <w:szCs w:val="24"/>
                    </w:rPr>
                  </w:pPr>
                </w:p>
              </w:tc>
            </w:tr>
            <w:tr w:rsidR="00C561B1" w14:paraId="1A138A0B" w14:textId="77777777" w:rsidTr="003160D7">
              <w:trPr>
                <w:trHeight w:val="293"/>
              </w:trPr>
              <w:tc>
                <w:tcPr>
                  <w:tcW w:w="8647" w:type="dxa"/>
                  <w:shd w:val="clear" w:color="auto" w:fill="FFFFFF" w:themeFill="background1"/>
                </w:tcPr>
                <w:p w14:paraId="124F6C4B" w14:textId="77777777" w:rsidR="003160D7" w:rsidRPr="007A1AAD" w:rsidRDefault="0054252B" w:rsidP="003160D7">
                  <w:pPr>
                    <w:rPr>
                      <w:b/>
                      <w:sz w:val="24"/>
                      <w:szCs w:val="24"/>
                    </w:rPr>
                  </w:pPr>
                  <w:r w:rsidRPr="007A1AAD">
                    <w:rPr>
                      <w:b/>
                      <w:sz w:val="24"/>
                      <w:szCs w:val="24"/>
                    </w:rPr>
                    <w:t>DC14   Number of deliberate dwelling fires in occupied properties</w:t>
                  </w:r>
                </w:p>
              </w:tc>
              <w:tc>
                <w:tcPr>
                  <w:tcW w:w="1985" w:type="dxa"/>
                  <w:shd w:val="clear" w:color="auto" w:fill="00B050"/>
                </w:tcPr>
                <w:p w14:paraId="0BFA3D6F" w14:textId="77777777" w:rsidR="003160D7" w:rsidRDefault="00E063DA" w:rsidP="003160D7">
                  <w:pPr>
                    <w:rPr>
                      <w:sz w:val="24"/>
                      <w:szCs w:val="24"/>
                    </w:rPr>
                  </w:pPr>
                </w:p>
              </w:tc>
            </w:tr>
            <w:tr w:rsidR="00C561B1" w14:paraId="214CDC19" w14:textId="77777777" w:rsidTr="00A25B0A">
              <w:trPr>
                <w:trHeight w:val="293"/>
              </w:trPr>
              <w:tc>
                <w:tcPr>
                  <w:tcW w:w="8647" w:type="dxa"/>
                  <w:shd w:val="clear" w:color="auto" w:fill="FFFFFF" w:themeFill="background1"/>
                </w:tcPr>
                <w:p w14:paraId="7AA37CBE" w14:textId="77777777" w:rsidR="003160D7" w:rsidRPr="007A1AAD" w:rsidRDefault="0054252B" w:rsidP="003160D7">
                  <w:pPr>
                    <w:rPr>
                      <w:b/>
                      <w:sz w:val="24"/>
                      <w:szCs w:val="24"/>
                    </w:rPr>
                  </w:pPr>
                  <w:r w:rsidRPr="007A1AAD">
                    <w:rPr>
                      <w:b/>
                      <w:sz w:val="24"/>
                      <w:szCs w:val="24"/>
                    </w:rPr>
                    <w:t xml:space="preserve">DC15  </w:t>
                  </w:r>
                  <w:r>
                    <w:rPr>
                      <w:b/>
                      <w:sz w:val="24"/>
                      <w:szCs w:val="24"/>
                    </w:rPr>
                    <w:t xml:space="preserve"> </w:t>
                  </w:r>
                  <w:r w:rsidRPr="007A1AAD">
                    <w:rPr>
                      <w:b/>
                      <w:sz w:val="24"/>
                      <w:szCs w:val="24"/>
                    </w:rPr>
                    <w:t>Number of deliberate dwelling fires in unoccupied properties</w:t>
                  </w:r>
                </w:p>
              </w:tc>
              <w:tc>
                <w:tcPr>
                  <w:tcW w:w="1985" w:type="dxa"/>
                  <w:shd w:val="clear" w:color="auto" w:fill="FF0000"/>
                </w:tcPr>
                <w:p w14:paraId="6CF5806E" w14:textId="77777777" w:rsidR="003160D7" w:rsidRDefault="00E063DA" w:rsidP="003160D7">
                  <w:pPr>
                    <w:rPr>
                      <w:sz w:val="24"/>
                      <w:szCs w:val="24"/>
                    </w:rPr>
                  </w:pPr>
                </w:p>
              </w:tc>
            </w:tr>
            <w:tr w:rsidR="00C561B1" w14:paraId="5AFD4B87" w14:textId="77777777" w:rsidTr="003160D7">
              <w:trPr>
                <w:trHeight w:val="293"/>
              </w:trPr>
              <w:tc>
                <w:tcPr>
                  <w:tcW w:w="8647" w:type="dxa"/>
                  <w:shd w:val="clear" w:color="auto" w:fill="FFFFFF" w:themeFill="background1"/>
                </w:tcPr>
                <w:p w14:paraId="1CA4605C" w14:textId="77777777" w:rsidR="003160D7" w:rsidRPr="007A1AAD" w:rsidRDefault="0054252B" w:rsidP="003160D7">
                  <w:pPr>
                    <w:rPr>
                      <w:b/>
                      <w:sz w:val="24"/>
                      <w:szCs w:val="24"/>
                    </w:rPr>
                  </w:pPr>
                  <w:r w:rsidRPr="007A1AAD">
                    <w:rPr>
                      <w:b/>
                      <w:sz w:val="24"/>
                      <w:szCs w:val="24"/>
                    </w:rPr>
                    <w:t>DC16   Number of deaths occurring in deliberate dwelling fires</w:t>
                  </w:r>
                </w:p>
              </w:tc>
              <w:tc>
                <w:tcPr>
                  <w:tcW w:w="1985" w:type="dxa"/>
                  <w:shd w:val="clear" w:color="auto" w:fill="00B050"/>
                </w:tcPr>
                <w:p w14:paraId="69116284" w14:textId="77777777" w:rsidR="003160D7" w:rsidRDefault="00E063DA" w:rsidP="003160D7">
                  <w:pPr>
                    <w:rPr>
                      <w:sz w:val="24"/>
                      <w:szCs w:val="24"/>
                    </w:rPr>
                  </w:pPr>
                </w:p>
              </w:tc>
            </w:tr>
            <w:tr w:rsidR="00C561B1" w14:paraId="74C0C925" w14:textId="77777777" w:rsidTr="003160D7">
              <w:trPr>
                <w:trHeight w:val="293"/>
              </w:trPr>
              <w:tc>
                <w:tcPr>
                  <w:tcW w:w="8647" w:type="dxa"/>
                  <w:shd w:val="clear" w:color="auto" w:fill="FFFFFF" w:themeFill="background1"/>
                </w:tcPr>
                <w:p w14:paraId="42475142" w14:textId="77777777" w:rsidR="003160D7" w:rsidRPr="007A1AAD" w:rsidRDefault="0054252B" w:rsidP="003160D7">
                  <w:pPr>
                    <w:rPr>
                      <w:b/>
                      <w:sz w:val="24"/>
                      <w:szCs w:val="24"/>
                    </w:rPr>
                  </w:pPr>
                  <w:r w:rsidRPr="007A1AAD">
                    <w:rPr>
                      <w:b/>
                      <w:sz w:val="24"/>
                      <w:szCs w:val="24"/>
                    </w:rPr>
                    <w:t>DC17   Number of injuries occurring in deliberate dwelling fires</w:t>
                  </w:r>
                </w:p>
              </w:tc>
              <w:tc>
                <w:tcPr>
                  <w:tcW w:w="1985" w:type="dxa"/>
                  <w:shd w:val="clear" w:color="auto" w:fill="00B050"/>
                </w:tcPr>
                <w:p w14:paraId="45053B4D" w14:textId="77777777" w:rsidR="003160D7" w:rsidRDefault="00E063DA" w:rsidP="003160D7">
                  <w:pPr>
                    <w:rPr>
                      <w:sz w:val="24"/>
                      <w:szCs w:val="24"/>
                    </w:rPr>
                  </w:pPr>
                </w:p>
              </w:tc>
            </w:tr>
          </w:tbl>
          <w:p w14:paraId="22F177EB" w14:textId="77777777" w:rsidR="003160D7" w:rsidRPr="005359B6" w:rsidRDefault="00E063DA" w:rsidP="003160D7">
            <w:pPr>
              <w:rPr>
                <w:b/>
                <w:color w:val="FFFFFF" w:themeColor="background1"/>
                <w:sz w:val="24"/>
                <w:szCs w:val="24"/>
              </w:rPr>
            </w:pPr>
          </w:p>
        </w:tc>
      </w:tr>
      <w:tr w:rsidR="00C561B1" w14:paraId="5FCBFDCD" w14:textId="77777777" w:rsidTr="003160D7">
        <w:tc>
          <w:tcPr>
            <w:tcW w:w="10692" w:type="dxa"/>
            <w:gridSpan w:val="5"/>
            <w:shd w:val="clear" w:color="auto" w:fill="5B9BD5" w:themeFill="accent1"/>
          </w:tcPr>
          <w:p w14:paraId="1AA24F61" w14:textId="77777777" w:rsidR="003160D7" w:rsidRPr="005359B6" w:rsidRDefault="0054252B" w:rsidP="003160D7">
            <w:pPr>
              <w:jc w:val="center"/>
              <w:rPr>
                <w:b/>
                <w:sz w:val="24"/>
                <w:szCs w:val="24"/>
              </w:rPr>
            </w:pPr>
            <w:r w:rsidRPr="005359B6">
              <w:rPr>
                <w:b/>
                <w:color w:val="FFFFFF" w:themeColor="background1"/>
                <w:sz w:val="24"/>
                <w:szCs w:val="24"/>
              </w:rPr>
              <w:t>COMMENTARY:</w:t>
            </w:r>
          </w:p>
        </w:tc>
      </w:tr>
      <w:tr w:rsidR="00C561B1" w14:paraId="3BC3CD79" w14:textId="77777777" w:rsidTr="003160D7">
        <w:tc>
          <w:tcPr>
            <w:tcW w:w="2266" w:type="dxa"/>
          </w:tcPr>
          <w:p w14:paraId="2FD478D7" w14:textId="77777777" w:rsidR="003160D7" w:rsidRPr="004F0C38" w:rsidRDefault="00E063DA" w:rsidP="003160D7">
            <w:pPr>
              <w:rPr>
                <w:b/>
              </w:rPr>
            </w:pPr>
          </w:p>
          <w:p w14:paraId="052CA202" w14:textId="77777777" w:rsidR="003160D7" w:rsidRPr="004F0C38" w:rsidRDefault="0054252B" w:rsidP="003160D7">
            <w:pPr>
              <w:rPr>
                <w:b/>
              </w:rPr>
            </w:pPr>
            <w:r w:rsidRPr="004F0C38">
              <w:rPr>
                <w:b/>
              </w:rPr>
              <w:t>DC11</w:t>
            </w:r>
          </w:p>
        </w:tc>
        <w:tc>
          <w:tcPr>
            <w:tcW w:w="8426" w:type="dxa"/>
            <w:gridSpan w:val="4"/>
          </w:tcPr>
          <w:p w14:paraId="1C4FC84C" w14:textId="21E97B34" w:rsidR="003160D7" w:rsidRPr="004F0C38" w:rsidRDefault="0054252B" w:rsidP="00D75172">
            <w:pPr>
              <w:jc w:val="both"/>
            </w:pPr>
            <w:r w:rsidRPr="004F0C38">
              <w:t xml:space="preserve">Accidental dwelling fires during </w:t>
            </w:r>
            <w:r w:rsidR="00BD5E8A" w:rsidRPr="004F0C38">
              <w:t>202</w:t>
            </w:r>
            <w:r w:rsidR="00E063DA">
              <w:t>3</w:t>
            </w:r>
            <w:r w:rsidRPr="004F0C38">
              <w:t>/2</w:t>
            </w:r>
            <w:r w:rsidR="00E063DA">
              <w:t>4</w:t>
            </w:r>
            <w:r w:rsidRPr="004F0C38">
              <w:t xml:space="preserve"> at </w:t>
            </w:r>
            <w:r w:rsidR="004F0C38">
              <w:t>160</w:t>
            </w:r>
            <w:r w:rsidRPr="004F0C38">
              <w:t xml:space="preserve"> are </w:t>
            </w:r>
            <w:r w:rsidR="004F0C38">
              <w:t xml:space="preserve">considerably </w:t>
            </w:r>
            <w:r w:rsidRPr="004F0C38">
              <w:t>lower than the cumulative target for quarter 1 (22</w:t>
            </w:r>
            <w:r w:rsidR="004F0C38">
              <w:t>6</w:t>
            </w:r>
            <w:r w:rsidRPr="004F0C38">
              <w:t>).   This performance is lower than 202</w:t>
            </w:r>
            <w:r w:rsidR="004F0C38">
              <w:t>2</w:t>
            </w:r>
            <w:r w:rsidRPr="004F0C38">
              <w:t>/2</w:t>
            </w:r>
            <w:r w:rsidR="004F0C38">
              <w:t>3</w:t>
            </w:r>
            <w:r w:rsidRPr="004F0C38">
              <w:t xml:space="preserve">, when </w:t>
            </w:r>
            <w:proofErr w:type="gramStart"/>
            <w:r w:rsidRPr="004F0C38">
              <w:t>crews  attended</w:t>
            </w:r>
            <w:proofErr w:type="gramEnd"/>
            <w:r w:rsidRPr="004F0C38">
              <w:t xml:space="preserve"> 2</w:t>
            </w:r>
            <w:r w:rsidR="004F0C38">
              <w:t>19</w:t>
            </w:r>
            <w:r w:rsidRPr="004F0C38">
              <w:t xml:space="preserve"> accidental dwelling fires.  </w:t>
            </w:r>
          </w:p>
        </w:tc>
      </w:tr>
      <w:tr w:rsidR="00C561B1" w14:paraId="6EA74DF5" w14:textId="77777777" w:rsidTr="003160D7">
        <w:tc>
          <w:tcPr>
            <w:tcW w:w="2266" w:type="dxa"/>
          </w:tcPr>
          <w:p w14:paraId="61AE67D5" w14:textId="77777777" w:rsidR="003160D7" w:rsidRPr="00BA141C" w:rsidRDefault="0054252B" w:rsidP="003160D7">
            <w:pPr>
              <w:rPr>
                <w:b/>
              </w:rPr>
            </w:pPr>
            <w:r w:rsidRPr="00BA141C">
              <w:rPr>
                <w:b/>
              </w:rPr>
              <w:t>DC12</w:t>
            </w:r>
          </w:p>
        </w:tc>
        <w:tc>
          <w:tcPr>
            <w:tcW w:w="8426" w:type="dxa"/>
            <w:gridSpan w:val="4"/>
          </w:tcPr>
          <w:p w14:paraId="7AD23E27" w14:textId="332D357D" w:rsidR="003160D7" w:rsidRPr="004D68EF" w:rsidRDefault="0054252B" w:rsidP="00D75172">
            <w:pPr>
              <w:jc w:val="both"/>
            </w:pPr>
            <w:r>
              <w:t xml:space="preserve">There has sadly been 1 fatality in an accidental dwelling fire to date.  </w:t>
            </w:r>
          </w:p>
        </w:tc>
      </w:tr>
      <w:tr w:rsidR="00C561B1" w14:paraId="2B338EEC" w14:textId="77777777" w:rsidTr="003160D7">
        <w:tc>
          <w:tcPr>
            <w:tcW w:w="2266" w:type="dxa"/>
          </w:tcPr>
          <w:p w14:paraId="2366B082" w14:textId="77777777" w:rsidR="003160D7" w:rsidRPr="00BA141C" w:rsidRDefault="0054252B" w:rsidP="003160D7">
            <w:pPr>
              <w:rPr>
                <w:b/>
              </w:rPr>
            </w:pPr>
            <w:r w:rsidRPr="00BA141C">
              <w:rPr>
                <w:b/>
              </w:rPr>
              <w:t>DC13</w:t>
            </w:r>
          </w:p>
        </w:tc>
        <w:tc>
          <w:tcPr>
            <w:tcW w:w="8426" w:type="dxa"/>
            <w:gridSpan w:val="4"/>
          </w:tcPr>
          <w:p w14:paraId="358E327C" w14:textId="3B96AF72" w:rsidR="003160D7" w:rsidRPr="004D68EF" w:rsidRDefault="0054252B" w:rsidP="003160D7">
            <w:pPr>
              <w:jc w:val="both"/>
            </w:pPr>
            <w:r>
              <w:t>There have been 1</w:t>
            </w:r>
            <w:r w:rsidR="004F0C38">
              <w:t>7</w:t>
            </w:r>
            <w:r>
              <w:t xml:space="preserve"> injuries in Accidental Dwelling Fires.  This is </w:t>
            </w:r>
            <w:r w:rsidR="004F0C38">
              <w:t>below</w:t>
            </w:r>
            <w:r>
              <w:t xml:space="preserve"> the cumulative target of 24.</w:t>
            </w:r>
          </w:p>
        </w:tc>
      </w:tr>
      <w:tr w:rsidR="00C561B1" w14:paraId="6E13E510" w14:textId="77777777" w:rsidTr="003160D7">
        <w:tc>
          <w:tcPr>
            <w:tcW w:w="2266" w:type="dxa"/>
          </w:tcPr>
          <w:p w14:paraId="73FEBF56" w14:textId="77777777" w:rsidR="003160D7" w:rsidRPr="00BA141C" w:rsidRDefault="0054252B" w:rsidP="003160D7">
            <w:pPr>
              <w:rPr>
                <w:b/>
              </w:rPr>
            </w:pPr>
            <w:r w:rsidRPr="00BA141C">
              <w:rPr>
                <w:b/>
              </w:rPr>
              <w:t>DC14</w:t>
            </w:r>
          </w:p>
        </w:tc>
        <w:tc>
          <w:tcPr>
            <w:tcW w:w="8426" w:type="dxa"/>
            <w:gridSpan w:val="4"/>
          </w:tcPr>
          <w:p w14:paraId="0EFF2AA6" w14:textId="50B0E1EC" w:rsidR="003160D7" w:rsidRPr="004D68EF" w:rsidRDefault="0054252B" w:rsidP="003160D7">
            <w:pPr>
              <w:jc w:val="both"/>
            </w:pPr>
            <w:r>
              <w:t>Deliberate dwelling fires in occupied property (2</w:t>
            </w:r>
            <w:r w:rsidR="004F0C38">
              <w:t>4</w:t>
            </w:r>
            <w:r>
              <w:t>) is below the cumulative target (31) and there ha</w:t>
            </w:r>
            <w:r w:rsidR="004F0C38">
              <w:t>s been 1 less than</w:t>
            </w:r>
            <w:r>
              <w:t xml:space="preserve"> in 202</w:t>
            </w:r>
            <w:r w:rsidR="004F0C38">
              <w:t>2</w:t>
            </w:r>
            <w:r>
              <w:t>/2</w:t>
            </w:r>
            <w:r w:rsidR="004F0C38">
              <w:t>3</w:t>
            </w:r>
            <w:r>
              <w:t xml:space="preserve"> (</w:t>
            </w:r>
            <w:r w:rsidR="004F0C38">
              <w:t>25</w:t>
            </w:r>
            <w:r>
              <w:t>).</w:t>
            </w:r>
          </w:p>
        </w:tc>
      </w:tr>
      <w:tr w:rsidR="00C561B1" w14:paraId="3042519D" w14:textId="77777777" w:rsidTr="003160D7">
        <w:tc>
          <w:tcPr>
            <w:tcW w:w="2266" w:type="dxa"/>
          </w:tcPr>
          <w:p w14:paraId="0C4790F3" w14:textId="77777777" w:rsidR="003160D7" w:rsidRPr="00BA141C" w:rsidRDefault="0054252B" w:rsidP="003160D7">
            <w:pPr>
              <w:rPr>
                <w:b/>
              </w:rPr>
            </w:pPr>
            <w:r w:rsidRPr="00BA141C">
              <w:rPr>
                <w:b/>
              </w:rPr>
              <w:t>DC15</w:t>
            </w:r>
          </w:p>
        </w:tc>
        <w:tc>
          <w:tcPr>
            <w:tcW w:w="8426" w:type="dxa"/>
            <w:gridSpan w:val="4"/>
          </w:tcPr>
          <w:p w14:paraId="309070C0" w14:textId="4C87EA1E" w:rsidR="003160D7" w:rsidRPr="004D68EF" w:rsidRDefault="0054252B" w:rsidP="003160D7">
            <w:pPr>
              <w:jc w:val="both"/>
            </w:pPr>
            <w:r>
              <w:t xml:space="preserve">Deliberate fires in unoccupied properties (6) </w:t>
            </w:r>
            <w:proofErr w:type="gramStart"/>
            <w:r>
              <w:t>is</w:t>
            </w:r>
            <w:proofErr w:type="gramEnd"/>
            <w:r>
              <w:t xml:space="preserve"> </w:t>
            </w:r>
            <w:r w:rsidR="004F0C38">
              <w:t>1 over the target 5 and the same as for this period last year</w:t>
            </w:r>
          </w:p>
        </w:tc>
      </w:tr>
      <w:tr w:rsidR="00C561B1" w14:paraId="4DD3C0F0" w14:textId="77777777" w:rsidTr="003160D7">
        <w:tc>
          <w:tcPr>
            <w:tcW w:w="2266" w:type="dxa"/>
          </w:tcPr>
          <w:p w14:paraId="7B41C208" w14:textId="77777777" w:rsidR="003160D7" w:rsidRPr="00BA141C" w:rsidRDefault="0054252B" w:rsidP="003160D7">
            <w:pPr>
              <w:rPr>
                <w:b/>
              </w:rPr>
            </w:pPr>
            <w:r w:rsidRPr="00BA141C">
              <w:rPr>
                <w:b/>
              </w:rPr>
              <w:t>DC16 DC17</w:t>
            </w:r>
          </w:p>
          <w:p w14:paraId="24BDB07B" w14:textId="77777777" w:rsidR="003160D7" w:rsidRPr="00BA141C" w:rsidRDefault="00E063DA" w:rsidP="003160D7">
            <w:pPr>
              <w:rPr>
                <w:b/>
              </w:rPr>
            </w:pPr>
          </w:p>
        </w:tc>
        <w:tc>
          <w:tcPr>
            <w:tcW w:w="8426" w:type="dxa"/>
            <w:gridSpan w:val="4"/>
          </w:tcPr>
          <w:p w14:paraId="1C283707" w14:textId="44AB8234" w:rsidR="003160D7" w:rsidRPr="004D68EF" w:rsidRDefault="0054252B" w:rsidP="00D75172">
            <w:pPr>
              <w:jc w:val="both"/>
            </w:pPr>
            <w:r>
              <w:t xml:space="preserve">There have been no fatalities </w:t>
            </w:r>
            <w:r w:rsidR="004F0C38">
              <w:t xml:space="preserve">or injuries </w:t>
            </w:r>
            <w:r>
              <w:t>in the deliberate dwelling fires to date.</w:t>
            </w:r>
          </w:p>
        </w:tc>
      </w:tr>
      <w:tr w:rsidR="00C561B1" w14:paraId="6B9AC229" w14:textId="77777777" w:rsidTr="003160D7">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424"/>
        </w:trPr>
        <w:tc>
          <w:tcPr>
            <w:tcW w:w="10692" w:type="dxa"/>
            <w:gridSpan w:val="5"/>
            <w:shd w:val="clear" w:color="auto" w:fill="5B9BD5" w:themeFill="accent1"/>
          </w:tcPr>
          <w:p w14:paraId="4F9D9645" w14:textId="77777777" w:rsidR="003160D7" w:rsidRPr="005F20DB" w:rsidRDefault="0054252B" w:rsidP="003160D7">
            <w:pPr>
              <w:rPr>
                <w:b/>
                <w:color w:val="FFFF00"/>
                <w:sz w:val="28"/>
                <w:szCs w:val="28"/>
              </w:rPr>
            </w:pPr>
            <w:r w:rsidRPr="00D96258">
              <w:rPr>
                <w:b/>
                <w:color w:val="FFFFFF" w:themeColor="background1"/>
                <w:sz w:val="28"/>
                <w:szCs w:val="28"/>
              </w:rPr>
              <w:t>DC11 Number of accidental fires in dwellings</w:t>
            </w:r>
          </w:p>
        </w:tc>
      </w:tr>
      <w:tr w:rsidR="00C561B1" w14:paraId="31085BF8" w14:textId="77777777" w:rsidTr="00AB1D40">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256"/>
        </w:trPr>
        <w:tc>
          <w:tcPr>
            <w:tcW w:w="3070" w:type="dxa"/>
            <w:gridSpan w:val="2"/>
            <w:shd w:val="clear" w:color="auto" w:fill="FFFF00"/>
            <w:vAlign w:val="center"/>
          </w:tcPr>
          <w:p w14:paraId="2B178AB8" w14:textId="77777777" w:rsidR="003160D7" w:rsidRDefault="0054252B" w:rsidP="003160D7">
            <w:pPr>
              <w:jc w:val="center"/>
            </w:pPr>
            <w:r w:rsidRPr="00C63E5E">
              <w:t>Service Plan Target</w:t>
            </w:r>
          </w:p>
          <w:p w14:paraId="41317701" w14:textId="74AB4B68" w:rsidR="003160D7" w:rsidRDefault="0054252B" w:rsidP="003160D7">
            <w:pPr>
              <w:jc w:val="center"/>
            </w:pPr>
            <w:r>
              <w:t xml:space="preserve">Apr-June </w:t>
            </w:r>
            <w:r w:rsidR="00BD5E8A">
              <w:t>2023</w:t>
            </w:r>
          </w:p>
        </w:tc>
        <w:tc>
          <w:tcPr>
            <w:tcW w:w="2408" w:type="dxa"/>
            <w:shd w:val="clear" w:color="auto" w:fill="D9E2F3" w:themeFill="accent5" w:themeFillTint="33"/>
            <w:vAlign w:val="center"/>
          </w:tcPr>
          <w:p w14:paraId="21AF4A1D" w14:textId="0E65B1A1" w:rsidR="003160D7" w:rsidRPr="004D4B15" w:rsidRDefault="0054252B" w:rsidP="00AB1D40">
            <w:pPr>
              <w:jc w:val="center"/>
              <w:rPr>
                <w:b/>
              </w:rPr>
            </w:pPr>
            <w:r>
              <w:rPr>
                <w:b/>
              </w:rPr>
              <w:t>22</w:t>
            </w:r>
            <w:r w:rsidR="00A25B0A">
              <w:rPr>
                <w:b/>
              </w:rPr>
              <w:t>6</w:t>
            </w:r>
          </w:p>
        </w:tc>
        <w:tc>
          <w:tcPr>
            <w:tcW w:w="3271" w:type="dxa"/>
            <w:shd w:val="clear" w:color="auto" w:fill="FFFF00"/>
            <w:vAlign w:val="center"/>
          </w:tcPr>
          <w:p w14:paraId="5CBB11D3" w14:textId="77777777" w:rsidR="003160D7" w:rsidRDefault="0054252B" w:rsidP="003160D7">
            <w:pPr>
              <w:jc w:val="center"/>
            </w:pPr>
            <w:r w:rsidRPr="00C63E5E">
              <w:t>Progress to Date</w:t>
            </w:r>
          </w:p>
        </w:tc>
        <w:tc>
          <w:tcPr>
            <w:tcW w:w="1943" w:type="dxa"/>
            <w:shd w:val="clear" w:color="auto" w:fill="00B050"/>
            <w:vAlign w:val="center"/>
          </w:tcPr>
          <w:p w14:paraId="0FA7BCF2" w14:textId="176C47FA" w:rsidR="003160D7" w:rsidRPr="006C577F" w:rsidRDefault="00A25B0A" w:rsidP="003160D7">
            <w:pPr>
              <w:jc w:val="center"/>
              <w:rPr>
                <w:b/>
              </w:rPr>
            </w:pPr>
            <w:r w:rsidRPr="00E063DA">
              <w:rPr>
                <w:b/>
              </w:rPr>
              <w:t>160</w:t>
            </w:r>
          </w:p>
        </w:tc>
      </w:tr>
      <w:tr w:rsidR="00C561B1" w14:paraId="74E5F686" w14:textId="77777777" w:rsidTr="00A32889">
        <w:tblPrEx>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Ex>
        <w:trPr>
          <w:trHeight w:val="3715"/>
        </w:trPr>
        <w:tc>
          <w:tcPr>
            <w:tcW w:w="10692" w:type="dxa"/>
            <w:gridSpan w:val="5"/>
          </w:tcPr>
          <w:p w14:paraId="28BCFA95" w14:textId="6C2963CD" w:rsidR="003160D7" w:rsidRDefault="00A32889" w:rsidP="00F8744C">
            <w:pPr>
              <w:jc w:val="center"/>
            </w:pPr>
            <w:r>
              <w:rPr>
                <w:noProof/>
              </w:rPr>
              <w:drawing>
                <wp:inline distT="0" distB="0" distL="0" distR="0" wp14:anchorId="0AE699F3" wp14:editId="4BACB719">
                  <wp:extent cx="5797304" cy="2660400"/>
                  <wp:effectExtent l="0" t="0" r="13335" b="6985"/>
                  <wp:docPr id="12" name="Chart 12">
                    <a:extLst xmlns:a="http://schemas.openxmlformats.org/drawingml/2006/main">
                      <a:ext uri="{FF2B5EF4-FFF2-40B4-BE49-F238E27FC236}">
                        <a16:creationId xmlns:a16="http://schemas.microsoft.com/office/drawing/2014/main" id="{00000000-0008-0000-07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bl>
    <w:p w14:paraId="352F6F10" w14:textId="77777777" w:rsidR="003160D7" w:rsidRDefault="00E063DA" w:rsidP="003160D7">
      <w:pPr>
        <w:sectPr w:rsidR="003160D7" w:rsidSect="003160D7">
          <w:footerReference w:type="default" r:id="rId17"/>
          <w:pgSz w:w="11906" w:h="16838"/>
          <w:pgMar w:top="720" w:right="720" w:bottom="720" w:left="720" w:header="708" w:footer="708" w:gutter="0"/>
          <w:cols w:space="708"/>
          <w:docGrid w:linePitch="360"/>
        </w:sectPr>
      </w:pPr>
    </w:p>
    <w:p w14:paraId="77C4805E" w14:textId="77777777" w:rsidR="003160D7" w:rsidRDefault="00E063DA"/>
    <w:tbl>
      <w:tblPr>
        <w:tblStyle w:val="TableGrid"/>
        <w:tblW w:w="10757" w:type="dxa"/>
        <w:tblInd w:w="-70"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271"/>
        <w:gridCol w:w="2445"/>
        <w:gridCol w:w="2940"/>
        <w:gridCol w:w="2101"/>
      </w:tblGrid>
      <w:tr w:rsidR="00C561B1" w14:paraId="11ED0FD3" w14:textId="77777777" w:rsidTr="003160D7">
        <w:trPr>
          <w:trHeight w:val="391"/>
        </w:trPr>
        <w:tc>
          <w:tcPr>
            <w:tcW w:w="10757" w:type="dxa"/>
            <w:gridSpan w:val="4"/>
            <w:shd w:val="clear" w:color="auto" w:fill="5B9BD5" w:themeFill="accent1"/>
          </w:tcPr>
          <w:p w14:paraId="487D81E5" w14:textId="77777777" w:rsidR="003160D7" w:rsidRPr="005F20DB" w:rsidRDefault="0054252B" w:rsidP="003160D7">
            <w:pPr>
              <w:rPr>
                <w:b/>
                <w:color w:val="FFFF00"/>
                <w:sz w:val="28"/>
                <w:szCs w:val="28"/>
              </w:rPr>
            </w:pPr>
            <w:r w:rsidRPr="00681F4B">
              <w:rPr>
                <w:b/>
                <w:color w:val="FFFFFF" w:themeColor="background1"/>
                <w:sz w:val="28"/>
                <w:szCs w:val="28"/>
              </w:rPr>
              <w:t>DC14 Number of deliberate dwelling fires in occupied properties</w:t>
            </w:r>
          </w:p>
        </w:tc>
      </w:tr>
      <w:tr w:rsidR="00C561B1" w14:paraId="0F156118" w14:textId="77777777" w:rsidTr="003160D7">
        <w:trPr>
          <w:trHeight w:val="256"/>
        </w:trPr>
        <w:tc>
          <w:tcPr>
            <w:tcW w:w="3271" w:type="dxa"/>
            <w:shd w:val="clear" w:color="auto" w:fill="FFFF00"/>
            <w:vAlign w:val="center"/>
          </w:tcPr>
          <w:p w14:paraId="4E84DF21" w14:textId="77777777" w:rsidR="003160D7" w:rsidRDefault="0054252B" w:rsidP="003160D7">
            <w:pPr>
              <w:jc w:val="center"/>
            </w:pPr>
            <w:r w:rsidRPr="00C63E5E">
              <w:t>Service Plan Target</w:t>
            </w:r>
          </w:p>
          <w:p w14:paraId="5A70C7C8" w14:textId="44D1F172" w:rsidR="003160D7" w:rsidRDefault="0054252B" w:rsidP="003160D7">
            <w:pPr>
              <w:jc w:val="center"/>
            </w:pPr>
            <w:r>
              <w:t xml:space="preserve">Apr-June </w:t>
            </w:r>
            <w:r w:rsidR="00BD5E8A">
              <w:t>2023</w:t>
            </w:r>
          </w:p>
        </w:tc>
        <w:tc>
          <w:tcPr>
            <w:tcW w:w="2445" w:type="dxa"/>
            <w:shd w:val="clear" w:color="auto" w:fill="D9E2F3" w:themeFill="accent5" w:themeFillTint="33"/>
            <w:vAlign w:val="center"/>
          </w:tcPr>
          <w:p w14:paraId="33AD38D8" w14:textId="77777777" w:rsidR="003160D7" w:rsidRPr="004D4B15" w:rsidRDefault="0054252B" w:rsidP="003160D7">
            <w:pPr>
              <w:jc w:val="center"/>
              <w:rPr>
                <w:b/>
              </w:rPr>
            </w:pPr>
            <w:r>
              <w:rPr>
                <w:b/>
              </w:rPr>
              <w:t>31</w:t>
            </w:r>
          </w:p>
        </w:tc>
        <w:tc>
          <w:tcPr>
            <w:tcW w:w="2940" w:type="dxa"/>
            <w:shd w:val="clear" w:color="auto" w:fill="FFFF00"/>
            <w:vAlign w:val="center"/>
          </w:tcPr>
          <w:p w14:paraId="176A939B" w14:textId="77777777" w:rsidR="003160D7" w:rsidRDefault="0054252B" w:rsidP="003160D7">
            <w:pPr>
              <w:jc w:val="center"/>
            </w:pPr>
            <w:r w:rsidRPr="00C63E5E">
              <w:t>Progress to Date</w:t>
            </w:r>
          </w:p>
        </w:tc>
        <w:tc>
          <w:tcPr>
            <w:tcW w:w="2101" w:type="dxa"/>
            <w:shd w:val="clear" w:color="auto" w:fill="00B050"/>
            <w:vAlign w:val="center"/>
          </w:tcPr>
          <w:p w14:paraId="6EAD72AE" w14:textId="3F774E31" w:rsidR="003160D7" w:rsidRPr="006C577F" w:rsidRDefault="0054252B" w:rsidP="003160D7">
            <w:pPr>
              <w:jc w:val="center"/>
              <w:rPr>
                <w:b/>
              </w:rPr>
            </w:pPr>
            <w:r w:rsidRPr="00E063DA">
              <w:rPr>
                <w:b/>
              </w:rPr>
              <w:t>2</w:t>
            </w:r>
            <w:r w:rsidR="00A25B0A" w:rsidRPr="00E063DA">
              <w:rPr>
                <w:b/>
              </w:rPr>
              <w:t>4</w:t>
            </w:r>
          </w:p>
        </w:tc>
      </w:tr>
      <w:tr w:rsidR="00C561B1" w14:paraId="5B6BCC4D" w14:textId="77777777" w:rsidTr="00A32889">
        <w:trPr>
          <w:trHeight w:val="4231"/>
        </w:trPr>
        <w:tc>
          <w:tcPr>
            <w:tcW w:w="10757" w:type="dxa"/>
            <w:gridSpan w:val="4"/>
          </w:tcPr>
          <w:p w14:paraId="423A8E24" w14:textId="5FDED08C" w:rsidR="003160D7" w:rsidRDefault="00A32889" w:rsidP="00F8744C">
            <w:pPr>
              <w:jc w:val="center"/>
              <w:rPr>
                <w:noProof/>
                <w:lang w:eastAsia="en-GB"/>
              </w:rPr>
            </w:pPr>
            <w:r>
              <w:rPr>
                <w:noProof/>
              </w:rPr>
              <w:drawing>
                <wp:inline distT="0" distB="0" distL="0" distR="0" wp14:anchorId="01F36920" wp14:editId="72149111">
                  <wp:extent cx="5797304" cy="2660400"/>
                  <wp:effectExtent l="0" t="0" r="13335" b="6985"/>
                  <wp:docPr id="13" name="Chart 13">
                    <a:extLst xmlns:a="http://schemas.openxmlformats.org/drawingml/2006/main">
                      <a:ext uri="{FF2B5EF4-FFF2-40B4-BE49-F238E27FC236}">
                        <a16:creationId xmlns:a16="http://schemas.microsoft.com/office/drawing/2014/main" id="{00000000-0008-0000-0700-00001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C561B1" w14:paraId="2263A6F6" w14:textId="77777777" w:rsidTr="003160D7">
        <w:trPr>
          <w:trHeight w:val="354"/>
        </w:trPr>
        <w:tc>
          <w:tcPr>
            <w:tcW w:w="10757" w:type="dxa"/>
            <w:gridSpan w:val="4"/>
            <w:shd w:val="clear" w:color="auto" w:fill="5B9BD5" w:themeFill="accent1"/>
          </w:tcPr>
          <w:p w14:paraId="51897BEA" w14:textId="77777777" w:rsidR="003160D7" w:rsidRPr="005F20DB" w:rsidRDefault="0054252B" w:rsidP="003160D7">
            <w:pPr>
              <w:rPr>
                <w:b/>
                <w:color w:val="FFFF00"/>
                <w:sz w:val="28"/>
                <w:szCs w:val="28"/>
              </w:rPr>
            </w:pPr>
            <w:r w:rsidRPr="00681F4B">
              <w:rPr>
                <w:b/>
                <w:color w:val="FFFFFF" w:themeColor="background1"/>
                <w:sz w:val="28"/>
                <w:szCs w:val="28"/>
              </w:rPr>
              <w:t>DC15 Number of deliberate fires in unoccupied properties</w:t>
            </w:r>
          </w:p>
        </w:tc>
      </w:tr>
      <w:tr w:rsidR="00C561B1" w14:paraId="7179B977" w14:textId="77777777" w:rsidTr="00A25B0A">
        <w:trPr>
          <w:trHeight w:val="256"/>
        </w:trPr>
        <w:tc>
          <w:tcPr>
            <w:tcW w:w="3271" w:type="dxa"/>
            <w:shd w:val="clear" w:color="auto" w:fill="FFFF00"/>
            <w:vAlign w:val="center"/>
          </w:tcPr>
          <w:p w14:paraId="6408F4DF" w14:textId="77777777" w:rsidR="003160D7" w:rsidRDefault="0054252B" w:rsidP="003160D7">
            <w:pPr>
              <w:jc w:val="center"/>
            </w:pPr>
            <w:r w:rsidRPr="00C63E5E">
              <w:t>Service Plan Target</w:t>
            </w:r>
          </w:p>
          <w:p w14:paraId="46A6F01E" w14:textId="3F22050B" w:rsidR="003160D7" w:rsidRDefault="0054252B" w:rsidP="003160D7">
            <w:pPr>
              <w:jc w:val="center"/>
            </w:pPr>
            <w:r>
              <w:t xml:space="preserve">Apr-June </w:t>
            </w:r>
            <w:r w:rsidR="00BD5E8A">
              <w:t>2023</w:t>
            </w:r>
          </w:p>
        </w:tc>
        <w:tc>
          <w:tcPr>
            <w:tcW w:w="2445" w:type="dxa"/>
            <w:shd w:val="clear" w:color="auto" w:fill="D9E2F3" w:themeFill="accent5" w:themeFillTint="33"/>
            <w:vAlign w:val="center"/>
          </w:tcPr>
          <w:p w14:paraId="0D569853" w14:textId="0A3784F2" w:rsidR="003160D7" w:rsidRPr="004D4B15" w:rsidRDefault="00A25B0A" w:rsidP="003160D7">
            <w:pPr>
              <w:jc w:val="center"/>
              <w:rPr>
                <w:b/>
              </w:rPr>
            </w:pPr>
            <w:r>
              <w:rPr>
                <w:b/>
              </w:rPr>
              <w:t>5</w:t>
            </w:r>
          </w:p>
        </w:tc>
        <w:tc>
          <w:tcPr>
            <w:tcW w:w="2940" w:type="dxa"/>
            <w:shd w:val="clear" w:color="auto" w:fill="FFFF00"/>
            <w:vAlign w:val="center"/>
          </w:tcPr>
          <w:p w14:paraId="4E1E716F" w14:textId="77777777" w:rsidR="003160D7" w:rsidRDefault="0054252B" w:rsidP="003160D7">
            <w:pPr>
              <w:jc w:val="center"/>
            </w:pPr>
            <w:r w:rsidRPr="00C63E5E">
              <w:t>Progress to Date</w:t>
            </w:r>
          </w:p>
        </w:tc>
        <w:tc>
          <w:tcPr>
            <w:tcW w:w="2101" w:type="dxa"/>
            <w:shd w:val="clear" w:color="auto" w:fill="FF0000"/>
            <w:vAlign w:val="center"/>
          </w:tcPr>
          <w:p w14:paraId="00F27B88" w14:textId="77777777" w:rsidR="003160D7" w:rsidRPr="006C577F" w:rsidRDefault="0054252B" w:rsidP="003160D7">
            <w:pPr>
              <w:jc w:val="center"/>
              <w:rPr>
                <w:b/>
              </w:rPr>
            </w:pPr>
            <w:r>
              <w:rPr>
                <w:b/>
                <w:color w:val="FFFFFF" w:themeColor="background1"/>
              </w:rPr>
              <w:t>6</w:t>
            </w:r>
          </w:p>
        </w:tc>
      </w:tr>
      <w:tr w:rsidR="00C561B1" w14:paraId="036FC023" w14:textId="77777777" w:rsidTr="00A32889">
        <w:trPr>
          <w:trHeight w:val="4291"/>
        </w:trPr>
        <w:tc>
          <w:tcPr>
            <w:tcW w:w="10757" w:type="dxa"/>
            <w:gridSpan w:val="4"/>
          </w:tcPr>
          <w:p w14:paraId="65CCF8C0" w14:textId="37CE0BAD" w:rsidR="003160D7" w:rsidRDefault="00A32889" w:rsidP="003160D7">
            <w:pPr>
              <w:jc w:val="center"/>
            </w:pPr>
            <w:r>
              <w:rPr>
                <w:noProof/>
              </w:rPr>
              <w:drawing>
                <wp:inline distT="0" distB="0" distL="0" distR="0" wp14:anchorId="76A2AFF4" wp14:editId="5A45281D">
                  <wp:extent cx="5797304" cy="2669925"/>
                  <wp:effectExtent l="0" t="0" r="13335" b="16510"/>
                  <wp:docPr id="14" name="Chart 14">
                    <a:extLst xmlns:a="http://schemas.openxmlformats.org/drawingml/2006/main">
                      <a:ext uri="{FF2B5EF4-FFF2-40B4-BE49-F238E27FC236}">
                        <a16:creationId xmlns:a16="http://schemas.microsoft.com/office/drawing/2014/main" id="{00000000-0008-0000-07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712A9EC8" w14:textId="77777777" w:rsidR="003160D7" w:rsidRDefault="00E063DA"/>
    <w:p w14:paraId="0B1A54F9" w14:textId="77777777" w:rsidR="003160D7" w:rsidRDefault="00E063DA"/>
    <w:p w14:paraId="0C3A80BE" w14:textId="77777777" w:rsidR="003160D7" w:rsidRDefault="00E063DA"/>
    <w:p w14:paraId="3B69B9E9" w14:textId="77777777" w:rsidR="003160D7" w:rsidRDefault="00E063DA"/>
    <w:p w14:paraId="620E0505" w14:textId="77777777" w:rsidR="003160D7" w:rsidRDefault="00E063DA"/>
    <w:p w14:paraId="4EE387CD" w14:textId="77777777" w:rsidR="003160D7" w:rsidRDefault="00E063DA"/>
    <w:p w14:paraId="09DDAE66" w14:textId="77777777" w:rsidR="003160D7" w:rsidRDefault="00E063DA"/>
    <w:p w14:paraId="18783A40" w14:textId="77777777" w:rsidR="003160D7" w:rsidRDefault="0054252B">
      <w:r>
        <w:br w:type="page"/>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914"/>
        <w:gridCol w:w="25"/>
        <w:gridCol w:w="97"/>
        <w:gridCol w:w="26"/>
        <w:gridCol w:w="2149"/>
        <w:gridCol w:w="45"/>
        <w:gridCol w:w="2999"/>
        <w:gridCol w:w="98"/>
        <w:gridCol w:w="2093"/>
      </w:tblGrid>
      <w:tr w:rsidR="00C561B1" w14:paraId="034F3C66" w14:textId="77777777" w:rsidTr="003160D7">
        <w:tc>
          <w:tcPr>
            <w:tcW w:w="10446" w:type="dxa"/>
            <w:gridSpan w:val="9"/>
            <w:shd w:val="clear" w:color="auto" w:fill="5B9BD5" w:themeFill="accent1"/>
          </w:tcPr>
          <w:p w14:paraId="575F6FC2" w14:textId="77777777" w:rsidR="003160D7" w:rsidRPr="005F20DB" w:rsidRDefault="0054252B" w:rsidP="003160D7">
            <w:pPr>
              <w:rPr>
                <w:b/>
                <w:color w:val="FFFF00"/>
                <w:sz w:val="28"/>
                <w:szCs w:val="28"/>
              </w:rPr>
            </w:pPr>
            <w:r w:rsidRPr="00681F4B">
              <w:rPr>
                <w:b/>
                <w:color w:val="FFFFFF" w:themeColor="background1"/>
                <w:sz w:val="28"/>
                <w:szCs w:val="28"/>
              </w:rPr>
              <w:lastRenderedPageBreak/>
              <w:t>TC</w:t>
            </w:r>
            <w:proofErr w:type="gramStart"/>
            <w:r w:rsidRPr="00681F4B">
              <w:rPr>
                <w:b/>
                <w:color w:val="FFFFFF" w:themeColor="background1"/>
                <w:sz w:val="28"/>
                <w:szCs w:val="28"/>
              </w:rPr>
              <w:t>04  Total</w:t>
            </w:r>
            <w:proofErr w:type="gramEnd"/>
            <w:r w:rsidRPr="00681F4B">
              <w:rPr>
                <w:b/>
                <w:color w:val="FFFFFF" w:themeColor="background1"/>
                <w:sz w:val="28"/>
                <w:szCs w:val="28"/>
              </w:rPr>
              <w:t xml:space="preserve"> number of secondary fires attended</w:t>
            </w:r>
          </w:p>
        </w:tc>
      </w:tr>
      <w:tr w:rsidR="00C561B1" w14:paraId="0771EF63" w14:textId="77777777" w:rsidTr="00AB1D40">
        <w:tc>
          <w:tcPr>
            <w:tcW w:w="2914" w:type="dxa"/>
            <w:shd w:val="clear" w:color="auto" w:fill="FFFF00"/>
            <w:vAlign w:val="center"/>
          </w:tcPr>
          <w:p w14:paraId="11CCBD25" w14:textId="77777777" w:rsidR="003160D7" w:rsidRDefault="0054252B" w:rsidP="003160D7">
            <w:pPr>
              <w:jc w:val="center"/>
            </w:pPr>
            <w:r>
              <w:t>Service Plan Target</w:t>
            </w:r>
          </w:p>
          <w:p w14:paraId="7680EEBC" w14:textId="7DE353BE" w:rsidR="003160D7" w:rsidRDefault="0054252B" w:rsidP="003160D7">
            <w:pPr>
              <w:jc w:val="center"/>
            </w:pPr>
            <w:r>
              <w:t xml:space="preserve">Apr-June </w:t>
            </w:r>
            <w:r w:rsidR="00BD5E8A">
              <w:t>2023</w:t>
            </w:r>
          </w:p>
        </w:tc>
        <w:tc>
          <w:tcPr>
            <w:tcW w:w="2297" w:type="dxa"/>
            <w:gridSpan w:val="4"/>
            <w:shd w:val="clear" w:color="auto" w:fill="D9E2F3" w:themeFill="accent5" w:themeFillTint="33"/>
            <w:vAlign w:val="center"/>
          </w:tcPr>
          <w:p w14:paraId="4B539F47" w14:textId="125031F9" w:rsidR="003160D7" w:rsidRPr="004D4B15" w:rsidRDefault="0054252B" w:rsidP="003160D7">
            <w:pPr>
              <w:jc w:val="center"/>
              <w:rPr>
                <w:b/>
              </w:rPr>
            </w:pPr>
            <w:r>
              <w:rPr>
                <w:b/>
              </w:rPr>
              <w:t>17</w:t>
            </w:r>
            <w:r w:rsidR="00A25B0A">
              <w:rPr>
                <w:b/>
              </w:rPr>
              <w:t>51</w:t>
            </w:r>
          </w:p>
        </w:tc>
        <w:tc>
          <w:tcPr>
            <w:tcW w:w="3044" w:type="dxa"/>
            <w:gridSpan w:val="2"/>
            <w:shd w:val="clear" w:color="auto" w:fill="FFFF00"/>
            <w:vAlign w:val="center"/>
          </w:tcPr>
          <w:p w14:paraId="62123FBB" w14:textId="77777777" w:rsidR="003160D7" w:rsidRDefault="0054252B" w:rsidP="003160D7">
            <w:pPr>
              <w:jc w:val="center"/>
            </w:pPr>
            <w:r w:rsidRPr="00C63E5E">
              <w:t>Progress to Date</w:t>
            </w:r>
          </w:p>
        </w:tc>
        <w:tc>
          <w:tcPr>
            <w:tcW w:w="2191" w:type="dxa"/>
            <w:gridSpan w:val="2"/>
            <w:shd w:val="clear" w:color="auto" w:fill="00B050"/>
            <w:vAlign w:val="center"/>
          </w:tcPr>
          <w:p w14:paraId="7123DA13" w14:textId="70163536" w:rsidR="003160D7" w:rsidRPr="006C577F" w:rsidRDefault="0054252B" w:rsidP="003160D7">
            <w:pPr>
              <w:jc w:val="center"/>
              <w:rPr>
                <w:b/>
              </w:rPr>
            </w:pPr>
            <w:r w:rsidRPr="00F313A4">
              <w:rPr>
                <w:b/>
              </w:rPr>
              <w:t>16</w:t>
            </w:r>
            <w:r w:rsidR="00A25B0A" w:rsidRPr="00F313A4">
              <w:rPr>
                <w:b/>
              </w:rPr>
              <w:t>0</w:t>
            </w:r>
            <w:r w:rsidR="00F313A4" w:rsidRPr="00F313A4">
              <w:rPr>
                <w:b/>
              </w:rPr>
              <w:t>1</w:t>
            </w:r>
          </w:p>
        </w:tc>
      </w:tr>
      <w:tr w:rsidR="00C561B1" w14:paraId="4EF50866" w14:textId="77777777" w:rsidTr="00A32889">
        <w:tc>
          <w:tcPr>
            <w:tcW w:w="10446" w:type="dxa"/>
            <w:gridSpan w:val="9"/>
          </w:tcPr>
          <w:p w14:paraId="38F94C68" w14:textId="4A90890B" w:rsidR="003160D7" w:rsidRDefault="00A32889" w:rsidP="00F8744C">
            <w:pPr>
              <w:jc w:val="center"/>
              <w:rPr>
                <w:noProof/>
                <w:lang w:eastAsia="en-GB"/>
              </w:rPr>
            </w:pPr>
            <w:r>
              <w:rPr>
                <w:noProof/>
              </w:rPr>
              <w:drawing>
                <wp:inline distT="0" distB="0" distL="0" distR="0" wp14:anchorId="25E6570B" wp14:editId="10A617FE">
                  <wp:extent cx="5772150" cy="2660400"/>
                  <wp:effectExtent l="0" t="0" r="0" b="6985"/>
                  <wp:docPr id="15" name="Chart 15">
                    <a:extLst xmlns:a="http://schemas.openxmlformats.org/drawingml/2006/main">
                      <a:ext uri="{FF2B5EF4-FFF2-40B4-BE49-F238E27FC236}">
                        <a16:creationId xmlns:a16="http://schemas.microsoft.com/office/drawing/2014/main" id="{00000000-0008-0000-06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C561B1" w14:paraId="7E9C4669" w14:textId="77777777" w:rsidTr="003160D7">
        <w:tc>
          <w:tcPr>
            <w:tcW w:w="10446" w:type="dxa"/>
            <w:gridSpan w:val="9"/>
            <w:shd w:val="clear" w:color="auto" w:fill="5B9BD5" w:themeFill="accent1"/>
          </w:tcPr>
          <w:p w14:paraId="295009FF" w14:textId="77777777" w:rsidR="003160D7" w:rsidRPr="005359B6" w:rsidRDefault="0054252B" w:rsidP="003160D7">
            <w:pPr>
              <w:rPr>
                <w:b/>
                <w:color w:val="FFFFFF" w:themeColor="background1"/>
              </w:rPr>
            </w:pPr>
            <w:r w:rsidRPr="005359B6">
              <w:rPr>
                <w:b/>
                <w:color w:val="FFFFFF" w:themeColor="background1"/>
              </w:rPr>
              <w:t>Cumulative Performance</w:t>
            </w:r>
          </w:p>
        </w:tc>
      </w:tr>
      <w:tr w:rsidR="00C561B1" w14:paraId="3C6B97B7" w14:textId="77777777" w:rsidTr="00A32889">
        <w:tc>
          <w:tcPr>
            <w:tcW w:w="10446" w:type="dxa"/>
            <w:gridSpan w:val="9"/>
          </w:tcPr>
          <w:p w14:paraId="4C4634FC" w14:textId="4B0BA23A" w:rsidR="003160D7" w:rsidRDefault="00A32889" w:rsidP="001478EF">
            <w:pPr>
              <w:jc w:val="center"/>
              <w:rPr>
                <w:noProof/>
                <w:lang w:eastAsia="en-GB"/>
              </w:rPr>
            </w:pPr>
            <w:r>
              <w:rPr>
                <w:noProof/>
              </w:rPr>
              <w:drawing>
                <wp:inline distT="0" distB="0" distL="0" distR="0" wp14:anchorId="185B6536" wp14:editId="05468FCE">
                  <wp:extent cx="5770800" cy="2660400"/>
                  <wp:effectExtent l="0" t="0" r="1905" b="6985"/>
                  <wp:docPr id="16" name="Chart 16">
                    <a:extLst xmlns:a="http://schemas.openxmlformats.org/drawingml/2006/main">
                      <a:ext uri="{FF2B5EF4-FFF2-40B4-BE49-F238E27FC236}">
                        <a16:creationId xmlns:a16="http://schemas.microsoft.com/office/drawing/2014/main" id="{00000000-0008-0000-06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C561B1" w14:paraId="124279A3" w14:textId="77777777" w:rsidTr="00AB1D40">
        <w:trPr>
          <w:trHeight w:val="567"/>
        </w:trPr>
        <w:tc>
          <w:tcPr>
            <w:tcW w:w="5211" w:type="dxa"/>
            <w:gridSpan w:val="5"/>
          </w:tcPr>
          <w:p w14:paraId="06A81E1A" w14:textId="77777777" w:rsidR="003160D7" w:rsidRPr="00681F4B" w:rsidRDefault="0054252B" w:rsidP="003160D7">
            <w:pPr>
              <w:rPr>
                <w:b/>
                <w:szCs w:val="24"/>
              </w:rPr>
            </w:pPr>
            <w:r w:rsidRPr="00681F4B">
              <w:rPr>
                <w:b/>
                <w:szCs w:val="24"/>
              </w:rPr>
              <w:t>TC04 Total number of secondary fires attended</w:t>
            </w:r>
          </w:p>
        </w:tc>
        <w:tc>
          <w:tcPr>
            <w:tcW w:w="5235" w:type="dxa"/>
            <w:gridSpan w:val="4"/>
            <w:shd w:val="clear" w:color="auto" w:fill="00B050"/>
          </w:tcPr>
          <w:p w14:paraId="7A977E05" w14:textId="77777777" w:rsidR="003160D7" w:rsidRDefault="00E063DA" w:rsidP="003160D7"/>
          <w:p w14:paraId="20CA76F6" w14:textId="77777777" w:rsidR="003160D7" w:rsidRDefault="00E063DA" w:rsidP="003160D7"/>
        </w:tc>
      </w:tr>
      <w:tr w:rsidR="00C561B1" w14:paraId="04A2DA2E" w14:textId="77777777" w:rsidTr="001C5CFE">
        <w:trPr>
          <w:trHeight w:val="567"/>
        </w:trPr>
        <w:tc>
          <w:tcPr>
            <w:tcW w:w="5211" w:type="dxa"/>
            <w:gridSpan w:val="5"/>
          </w:tcPr>
          <w:p w14:paraId="1B411385" w14:textId="77777777" w:rsidR="003160D7" w:rsidRPr="00681F4B" w:rsidRDefault="0054252B" w:rsidP="003160D7">
            <w:pPr>
              <w:rPr>
                <w:b/>
                <w:szCs w:val="24"/>
              </w:rPr>
            </w:pPr>
            <w:r w:rsidRPr="00681F4B">
              <w:rPr>
                <w:b/>
                <w:szCs w:val="24"/>
              </w:rPr>
              <w:t>AC13 Number of deliberate ASB fires attended</w:t>
            </w:r>
          </w:p>
        </w:tc>
        <w:tc>
          <w:tcPr>
            <w:tcW w:w="5235" w:type="dxa"/>
            <w:gridSpan w:val="4"/>
            <w:shd w:val="clear" w:color="auto" w:fill="00B050"/>
          </w:tcPr>
          <w:p w14:paraId="2A969CBA" w14:textId="77777777" w:rsidR="003160D7" w:rsidRDefault="00E063DA" w:rsidP="003160D7"/>
          <w:p w14:paraId="6F074304" w14:textId="77777777" w:rsidR="003160D7" w:rsidRDefault="00E063DA" w:rsidP="003160D7"/>
        </w:tc>
      </w:tr>
      <w:tr w:rsidR="00C561B1" w14:paraId="167763C2" w14:textId="77777777" w:rsidTr="003160D7">
        <w:tc>
          <w:tcPr>
            <w:tcW w:w="3036" w:type="dxa"/>
            <w:gridSpan w:val="3"/>
          </w:tcPr>
          <w:p w14:paraId="7698D593" w14:textId="77777777" w:rsidR="003160D7" w:rsidRDefault="00E063DA" w:rsidP="003160D7"/>
          <w:p w14:paraId="60465173" w14:textId="77777777" w:rsidR="003160D7" w:rsidRPr="007A1AAD" w:rsidRDefault="0054252B" w:rsidP="003160D7">
            <w:pPr>
              <w:rPr>
                <w:b/>
              </w:rPr>
            </w:pPr>
            <w:r w:rsidRPr="007A1AAD">
              <w:rPr>
                <w:b/>
              </w:rPr>
              <w:t>TC04</w:t>
            </w:r>
          </w:p>
        </w:tc>
        <w:tc>
          <w:tcPr>
            <w:tcW w:w="7410" w:type="dxa"/>
            <w:gridSpan w:val="6"/>
          </w:tcPr>
          <w:p w14:paraId="04AF9C19" w14:textId="45F0C578" w:rsidR="003160D7" w:rsidRDefault="0054252B" w:rsidP="003160D7">
            <w:r>
              <w:t>There were 16</w:t>
            </w:r>
            <w:r w:rsidR="002F70FE">
              <w:t>01</w:t>
            </w:r>
            <w:r>
              <w:t xml:space="preserve"> secondary fires during this reporting period.  This is </w:t>
            </w:r>
            <w:r w:rsidR="002F70FE">
              <w:t>75</w:t>
            </w:r>
            <w:r>
              <w:t xml:space="preserve"> less fires than in 202</w:t>
            </w:r>
            <w:r w:rsidR="002F70FE">
              <w:t>2</w:t>
            </w:r>
            <w:r>
              <w:t>/2</w:t>
            </w:r>
            <w:r w:rsidR="002F70FE">
              <w:t>3</w:t>
            </w:r>
            <w:r>
              <w:t xml:space="preserve"> (1</w:t>
            </w:r>
            <w:r w:rsidR="002F70FE">
              <w:t>676</w:t>
            </w:r>
            <w:r>
              <w:t xml:space="preserve">).    There was an increase in incidents during </w:t>
            </w:r>
            <w:r w:rsidR="002F70FE">
              <w:t>June</w:t>
            </w:r>
            <w:r>
              <w:t xml:space="preserve"> (</w:t>
            </w:r>
            <w:r w:rsidR="002F70FE">
              <w:t>596</w:t>
            </w:r>
            <w:proofErr w:type="gramStart"/>
            <w:r>
              <w:t>)</w:t>
            </w:r>
            <w:proofErr w:type="gramEnd"/>
            <w:r>
              <w:t xml:space="preserve"> but this was in part due to </w:t>
            </w:r>
            <w:proofErr w:type="spellStart"/>
            <w:r>
              <w:t>there</w:t>
            </w:r>
            <w:proofErr w:type="spellEnd"/>
            <w:r>
              <w:t xml:space="preserve"> only being</w:t>
            </w:r>
            <w:r w:rsidRPr="00B06D59">
              <w:t xml:space="preserve"> </w:t>
            </w:r>
            <w:r w:rsidR="002F70FE">
              <w:t>7% of expected rainfall</w:t>
            </w:r>
          </w:p>
          <w:p w14:paraId="60040D19" w14:textId="77777777" w:rsidR="003160D7" w:rsidRDefault="00E063DA" w:rsidP="003160D7"/>
        </w:tc>
      </w:tr>
      <w:tr w:rsidR="00C561B1" w14:paraId="153834B5" w14:textId="77777777" w:rsidTr="003160D7">
        <w:tc>
          <w:tcPr>
            <w:tcW w:w="3036" w:type="dxa"/>
            <w:gridSpan w:val="3"/>
          </w:tcPr>
          <w:p w14:paraId="7D3ABDA0" w14:textId="77777777" w:rsidR="003160D7" w:rsidRDefault="00E063DA" w:rsidP="003160D7"/>
          <w:p w14:paraId="51898D26" w14:textId="77777777" w:rsidR="003160D7" w:rsidRPr="007A1AAD" w:rsidRDefault="0054252B" w:rsidP="003160D7">
            <w:pPr>
              <w:rPr>
                <w:b/>
              </w:rPr>
            </w:pPr>
            <w:r w:rsidRPr="007A1AAD">
              <w:rPr>
                <w:b/>
              </w:rPr>
              <w:t>AC13</w:t>
            </w:r>
          </w:p>
        </w:tc>
        <w:tc>
          <w:tcPr>
            <w:tcW w:w="7410" w:type="dxa"/>
            <w:gridSpan w:val="6"/>
          </w:tcPr>
          <w:p w14:paraId="24F8C58B" w14:textId="084DC4E3" w:rsidR="0054120D" w:rsidRDefault="0054252B" w:rsidP="003160D7">
            <w:r>
              <w:t>The count of anti-social behaviour fires attended are less this year (</w:t>
            </w:r>
            <w:r w:rsidR="002F70FE">
              <w:t>976</w:t>
            </w:r>
            <w:r>
              <w:t>) than in 202</w:t>
            </w:r>
            <w:r w:rsidR="002F70FE">
              <w:t>2</w:t>
            </w:r>
            <w:r>
              <w:t>/2</w:t>
            </w:r>
            <w:r w:rsidR="002F70FE">
              <w:t>3</w:t>
            </w:r>
            <w:r>
              <w:t xml:space="preserve"> (1</w:t>
            </w:r>
            <w:r w:rsidR="002F70FE">
              <w:t>052</w:t>
            </w:r>
            <w:r>
              <w:t>) and achieves the cumulative Q1 target (10</w:t>
            </w:r>
            <w:r w:rsidR="002F70FE">
              <w:t>61</w:t>
            </w:r>
            <w:r>
              <w:t xml:space="preserve">).  </w:t>
            </w:r>
            <w:r w:rsidR="002F70FE">
              <w:t>Incident numbers</w:t>
            </w:r>
            <w:r>
              <w:t xml:space="preserve"> remained relatively consistent</w:t>
            </w:r>
            <w:r w:rsidR="002F70FE">
              <w:t xml:space="preserve"> throughout Q1 with a slight peak in June (341) incidents.</w:t>
            </w:r>
            <w:r>
              <w:t xml:space="preserve">  </w:t>
            </w:r>
          </w:p>
          <w:p w14:paraId="76BF3E0F" w14:textId="77777777" w:rsidR="003160D7" w:rsidRDefault="00E063DA" w:rsidP="003160D7"/>
          <w:p w14:paraId="21BCBA1D" w14:textId="77777777" w:rsidR="003160D7" w:rsidRDefault="0054252B" w:rsidP="003160D7">
            <w:r>
              <w:t xml:space="preserve">The Arson Reduction Team continue to work with partner agencies on initiatives such as </w:t>
            </w:r>
            <w:proofErr w:type="spellStart"/>
            <w:r>
              <w:t>Beachsafe</w:t>
            </w:r>
            <w:proofErr w:type="spellEnd"/>
            <w:r>
              <w:t xml:space="preserve"> on the Sefton coast to discourage barbecues and fires being lit and left in the Pinewoods and sand dunes.</w:t>
            </w:r>
          </w:p>
          <w:p w14:paraId="13056606" w14:textId="77777777" w:rsidR="00573A9F" w:rsidRDefault="00E063DA" w:rsidP="003160D7"/>
          <w:p w14:paraId="603CBD54" w14:textId="2A86DE28" w:rsidR="002F70FE" w:rsidRDefault="002F70FE" w:rsidP="003160D7"/>
        </w:tc>
      </w:tr>
      <w:tr w:rsidR="00C561B1" w14:paraId="55E29E6A" w14:textId="77777777" w:rsidTr="003160D7">
        <w:trPr>
          <w:trHeight w:val="206"/>
        </w:trPr>
        <w:tc>
          <w:tcPr>
            <w:tcW w:w="10446" w:type="dxa"/>
            <w:gridSpan w:val="9"/>
            <w:shd w:val="clear" w:color="auto" w:fill="5B9BD5" w:themeFill="accent1"/>
          </w:tcPr>
          <w:p w14:paraId="284ABA87" w14:textId="77777777" w:rsidR="003160D7" w:rsidRPr="005F20DB" w:rsidRDefault="0054252B" w:rsidP="003160D7">
            <w:pPr>
              <w:rPr>
                <w:b/>
                <w:color w:val="FFFFFF" w:themeColor="background1"/>
                <w:sz w:val="28"/>
                <w:szCs w:val="28"/>
              </w:rPr>
            </w:pPr>
            <w:r w:rsidRPr="00681F4B">
              <w:rPr>
                <w:b/>
                <w:color w:val="FFFFFF" w:themeColor="background1"/>
                <w:sz w:val="28"/>
                <w:szCs w:val="28"/>
              </w:rPr>
              <w:lastRenderedPageBreak/>
              <w:t>TC</w:t>
            </w:r>
            <w:proofErr w:type="gramStart"/>
            <w:r w:rsidRPr="00681F4B">
              <w:rPr>
                <w:b/>
                <w:color w:val="FFFFFF" w:themeColor="background1"/>
                <w:sz w:val="28"/>
                <w:szCs w:val="28"/>
              </w:rPr>
              <w:t>05  Total</w:t>
            </w:r>
            <w:proofErr w:type="gramEnd"/>
            <w:r w:rsidRPr="00681F4B">
              <w:rPr>
                <w:b/>
                <w:color w:val="FFFFFF" w:themeColor="background1"/>
                <w:sz w:val="28"/>
                <w:szCs w:val="28"/>
              </w:rPr>
              <w:t xml:space="preserve"> number of special services attended</w:t>
            </w:r>
          </w:p>
        </w:tc>
      </w:tr>
      <w:tr w:rsidR="00C561B1" w14:paraId="2D36E3CE" w14:textId="77777777" w:rsidTr="003160D7">
        <w:trPr>
          <w:trHeight w:val="551"/>
        </w:trPr>
        <w:tc>
          <w:tcPr>
            <w:tcW w:w="2939" w:type="dxa"/>
            <w:gridSpan w:val="2"/>
            <w:shd w:val="clear" w:color="auto" w:fill="FFFF00"/>
            <w:vAlign w:val="center"/>
          </w:tcPr>
          <w:p w14:paraId="71E42C62" w14:textId="77777777" w:rsidR="003160D7" w:rsidRDefault="0054252B" w:rsidP="003160D7">
            <w:pPr>
              <w:jc w:val="center"/>
            </w:pPr>
            <w:r w:rsidRPr="00C63E5E">
              <w:t>Service Plan Target</w:t>
            </w:r>
          </w:p>
        </w:tc>
        <w:tc>
          <w:tcPr>
            <w:tcW w:w="2317" w:type="dxa"/>
            <w:gridSpan w:val="4"/>
            <w:shd w:val="clear" w:color="auto" w:fill="D9E2F3" w:themeFill="accent5" w:themeFillTint="33"/>
            <w:vAlign w:val="center"/>
          </w:tcPr>
          <w:p w14:paraId="5987B0AC" w14:textId="77777777" w:rsidR="003160D7" w:rsidRPr="004D4B15" w:rsidRDefault="0054252B" w:rsidP="003160D7">
            <w:pPr>
              <w:jc w:val="center"/>
              <w:rPr>
                <w:b/>
              </w:rPr>
            </w:pPr>
            <w:r w:rsidRPr="004D4B15">
              <w:rPr>
                <w:b/>
              </w:rPr>
              <w:t>Quality Assurance</w:t>
            </w:r>
          </w:p>
        </w:tc>
        <w:tc>
          <w:tcPr>
            <w:tcW w:w="3097" w:type="dxa"/>
            <w:gridSpan w:val="2"/>
            <w:shd w:val="clear" w:color="auto" w:fill="FFFF00"/>
            <w:vAlign w:val="center"/>
          </w:tcPr>
          <w:p w14:paraId="4591A71A" w14:textId="77777777" w:rsidR="003160D7" w:rsidRDefault="0054252B" w:rsidP="003160D7">
            <w:pPr>
              <w:jc w:val="center"/>
            </w:pPr>
            <w:r w:rsidRPr="00C63E5E">
              <w:t>Progress to Date</w:t>
            </w:r>
          </w:p>
        </w:tc>
        <w:tc>
          <w:tcPr>
            <w:tcW w:w="2093" w:type="dxa"/>
            <w:shd w:val="clear" w:color="auto" w:fill="D9E2F3" w:themeFill="accent5" w:themeFillTint="33"/>
            <w:vAlign w:val="center"/>
          </w:tcPr>
          <w:p w14:paraId="7FC46A81" w14:textId="73967479" w:rsidR="003160D7" w:rsidRPr="006C577F" w:rsidRDefault="0054252B" w:rsidP="003160D7">
            <w:pPr>
              <w:jc w:val="center"/>
              <w:rPr>
                <w:b/>
              </w:rPr>
            </w:pPr>
            <w:r>
              <w:rPr>
                <w:b/>
              </w:rPr>
              <w:t>1</w:t>
            </w:r>
            <w:r w:rsidR="00A25B0A">
              <w:rPr>
                <w:b/>
              </w:rPr>
              <w:t>307</w:t>
            </w:r>
          </w:p>
        </w:tc>
      </w:tr>
      <w:tr w:rsidR="00C561B1" w14:paraId="581F2781" w14:textId="77777777" w:rsidTr="001C2EFA">
        <w:tc>
          <w:tcPr>
            <w:tcW w:w="10446" w:type="dxa"/>
            <w:gridSpan w:val="9"/>
          </w:tcPr>
          <w:p w14:paraId="2DCE22F0" w14:textId="3FCFA63A" w:rsidR="003160D7" w:rsidRDefault="001C2EFA" w:rsidP="003160D7">
            <w:pPr>
              <w:jc w:val="center"/>
              <w:rPr>
                <w:noProof/>
                <w:lang w:eastAsia="en-GB"/>
              </w:rPr>
            </w:pPr>
            <w:r>
              <w:rPr>
                <w:noProof/>
              </w:rPr>
              <w:drawing>
                <wp:inline distT="0" distB="0" distL="0" distR="0" wp14:anchorId="1C28DD1C" wp14:editId="66B72D12">
                  <wp:extent cx="5772150" cy="2660400"/>
                  <wp:effectExtent l="0" t="0" r="0" b="6985"/>
                  <wp:docPr id="17" name="Chart 17">
                    <a:extLst xmlns:a="http://schemas.openxmlformats.org/drawingml/2006/main">
                      <a:ext uri="{FF2B5EF4-FFF2-40B4-BE49-F238E27FC236}">
                        <a16:creationId xmlns:a16="http://schemas.microsoft.com/office/drawing/2014/main" id="{00000000-0008-0000-06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C561B1" w14:paraId="075D0F83" w14:textId="77777777" w:rsidTr="003160D7">
        <w:tc>
          <w:tcPr>
            <w:tcW w:w="10446" w:type="dxa"/>
            <w:gridSpan w:val="9"/>
            <w:shd w:val="clear" w:color="auto" w:fill="5B9BD5" w:themeFill="accent1"/>
          </w:tcPr>
          <w:p w14:paraId="3E3B634B" w14:textId="77777777" w:rsidR="003160D7" w:rsidRPr="005359B6" w:rsidRDefault="0054252B" w:rsidP="003160D7">
            <w:pPr>
              <w:rPr>
                <w:b/>
                <w:color w:val="FFFFFF" w:themeColor="background1"/>
              </w:rPr>
            </w:pPr>
            <w:r w:rsidRPr="005359B6">
              <w:rPr>
                <w:b/>
                <w:color w:val="FFFFFF" w:themeColor="background1"/>
              </w:rPr>
              <w:t>Cumulative Performance</w:t>
            </w:r>
          </w:p>
        </w:tc>
      </w:tr>
      <w:tr w:rsidR="00C561B1" w14:paraId="70EEB611" w14:textId="77777777" w:rsidTr="001C2EFA">
        <w:tc>
          <w:tcPr>
            <w:tcW w:w="10446" w:type="dxa"/>
            <w:gridSpan w:val="9"/>
          </w:tcPr>
          <w:p w14:paraId="1828D136" w14:textId="41CBA4BD" w:rsidR="003160D7" w:rsidRDefault="001C2EFA" w:rsidP="001478EF">
            <w:pPr>
              <w:jc w:val="center"/>
              <w:rPr>
                <w:noProof/>
                <w:lang w:eastAsia="en-GB"/>
              </w:rPr>
            </w:pPr>
            <w:r>
              <w:rPr>
                <w:noProof/>
              </w:rPr>
              <w:drawing>
                <wp:inline distT="0" distB="0" distL="0" distR="0" wp14:anchorId="3C7BC632" wp14:editId="736F3657">
                  <wp:extent cx="5770800" cy="2660400"/>
                  <wp:effectExtent l="0" t="0" r="1905" b="6985"/>
                  <wp:docPr id="18" name="Chart 18">
                    <a:extLst xmlns:a="http://schemas.openxmlformats.org/drawingml/2006/main">
                      <a:ext uri="{FF2B5EF4-FFF2-40B4-BE49-F238E27FC236}">
                        <a16:creationId xmlns:a16="http://schemas.microsoft.com/office/drawing/2014/main" id="{00000000-0008-0000-06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C561B1" w14:paraId="6999F55E" w14:textId="77777777" w:rsidTr="003160D7">
        <w:trPr>
          <w:trHeight w:val="567"/>
        </w:trPr>
        <w:tc>
          <w:tcPr>
            <w:tcW w:w="5256" w:type="dxa"/>
            <w:gridSpan w:val="6"/>
          </w:tcPr>
          <w:p w14:paraId="10CBA5E3" w14:textId="77777777" w:rsidR="003160D7" w:rsidRPr="00681F4B" w:rsidRDefault="0054252B" w:rsidP="003160D7">
            <w:pPr>
              <w:rPr>
                <w:b/>
              </w:rPr>
            </w:pPr>
            <w:r w:rsidRPr="00681F4B">
              <w:rPr>
                <w:b/>
              </w:rPr>
              <w:t>TC05 Total number of Special Services attended</w:t>
            </w:r>
          </w:p>
        </w:tc>
        <w:tc>
          <w:tcPr>
            <w:tcW w:w="5190" w:type="dxa"/>
            <w:gridSpan w:val="3"/>
            <w:shd w:val="clear" w:color="auto" w:fill="D9E2F3" w:themeFill="accent5" w:themeFillTint="33"/>
          </w:tcPr>
          <w:p w14:paraId="6FA7A4BE" w14:textId="77777777" w:rsidR="003160D7" w:rsidRPr="00681F4B" w:rsidRDefault="0054252B" w:rsidP="003160D7">
            <w:pPr>
              <w:jc w:val="center"/>
              <w:rPr>
                <w:b/>
              </w:rPr>
            </w:pPr>
            <w:r w:rsidRPr="00681F4B">
              <w:rPr>
                <w:b/>
              </w:rPr>
              <w:t>For quality assurance only</w:t>
            </w:r>
          </w:p>
          <w:p w14:paraId="0D67FE78" w14:textId="77777777" w:rsidR="003160D7" w:rsidRDefault="00E063DA" w:rsidP="003160D7"/>
        </w:tc>
      </w:tr>
      <w:tr w:rsidR="00C561B1" w14:paraId="015D8BD0" w14:textId="77777777" w:rsidTr="003160D7">
        <w:tc>
          <w:tcPr>
            <w:tcW w:w="3062" w:type="dxa"/>
            <w:gridSpan w:val="4"/>
          </w:tcPr>
          <w:p w14:paraId="526704B1" w14:textId="77777777" w:rsidR="003160D7" w:rsidRPr="007A1AAD" w:rsidRDefault="00E063DA" w:rsidP="003160D7">
            <w:pPr>
              <w:rPr>
                <w:b/>
              </w:rPr>
            </w:pPr>
          </w:p>
          <w:p w14:paraId="552BE991" w14:textId="77777777" w:rsidR="003160D7" w:rsidRDefault="0054252B" w:rsidP="003160D7">
            <w:r w:rsidRPr="00FA59EE">
              <w:rPr>
                <w:b/>
              </w:rPr>
              <w:t>TC05</w:t>
            </w:r>
          </w:p>
        </w:tc>
        <w:tc>
          <w:tcPr>
            <w:tcW w:w="7384" w:type="dxa"/>
            <w:gridSpan w:val="5"/>
          </w:tcPr>
          <w:p w14:paraId="10AC55C4" w14:textId="77777777" w:rsidR="003160D7" w:rsidRDefault="0054252B" w:rsidP="003160D7">
            <w:r w:rsidRPr="001C7075">
              <w:t xml:space="preserve">When personnel and equipment are </w:t>
            </w:r>
            <w:r>
              <w:t>de</w:t>
            </w:r>
            <w:r w:rsidRPr="001C7075">
              <w:t xml:space="preserve">ployed for services other than </w:t>
            </w:r>
            <w:proofErr w:type="spellStart"/>
            <w:r w:rsidRPr="001C7075">
              <w:t>fire fighting</w:t>
            </w:r>
            <w:proofErr w:type="spellEnd"/>
            <w:r w:rsidRPr="001C7075">
              <w:t xml:space="preserve">, those services </w:t>
            </w:r>
            <w:r>
              <w:t>are</w:t>
            </w:r>
            <w:r w:rsidRPr="001C7075">
              <w:t xml:space="preserve"> referred to as a ‘Special Service Call’ (SSC) and may be either ’emergency’ or ‘non-emergency.’</w:t>
            </w:r>
            <w:r>
              <w:t xml:space="preserve">  </w:t>
            </w:r>
            <w:r w:rsidRPr="00A30CD1">
              <w:t>Many are</w:t>
            </w:r>
            <w:r>
              <w:t xml:space="preserve"> related to</w:t>
            </w:r>
            <w:r w:rsidRPr="00A30CD1">
              <w:t xml:space="preserve"> assisting partner agencies such as the Police and Ambulance</w:t>
            </w:r>
            <w:r>
              <w:t>, particularly related to providing medical assistance and effecting entry</w:t>
            </w:r>
            <w:r w:rsidRPr="00A30CD1">
              <w:t xml:space="preserve">. </w:t>
            </w:r>
            <w:r>
              <w:t xml:space="preserve"> They also include incident types like Road Traffic Collisions and Water Rescue.  </w:t>
            </w:r>
          </w:p>
          <w:p w14:paraId="3E62FDDF" w14:textId="77777777" w:rsidR="00D75172" w:rsidRDefault="00E063DA" w:rsidP="003160D7"/>
          <w:p w14:paraId="76B21A4B" w14:textId="27599918" w:rsidR="003160D7" w:rsidRPr="00A30CD1" w:rsidRDefault="0054252B" w:rsidP="003160D7">
            <w:r>
              <w:t xml:space="preserve">From April to June </w:t>
            </w:r>
            <w:r w:rsidR="00BD5E8A">
              <w:t>2023</w:t>
            </w:r>
            <w:r>
              <w:t xml:space="preserve"> the number of special services attended (1</w:t>
            </w:r>
            <w:r w:rsidR="00C86D27">
              <w:t>307</w:t>
            </w:r>
            <w:r>
              <w:t>) was higher than in 202</w:t>
            </w:r>
            <w:r w:rsidR="00C86D27">
              <w:t>2</w:t>
            </w:r>
            <w:r>
              <w:t>/2</w:t>
            </w:r>
            <w:r w:rsidR="00C86D27">
              <w:t>3</w:t>
            </w:r>
            <w:r>
              <w:t xml:space="preserve"> (1</w:t>
            </w:r>
            <w:r w:rsidR="00C86D27">
              <w:t>243</w:t>
            </w:r>
            <w:r w:rsidRPr="00D90A35">
              <w:t>)</w:t>
            </w:r>
            <w:r>
              <w:t xml:space="preserve"> an increase of 6</w:t>
            </w:r>
            <w:r w:rsidR="000C549D">
              <w:t>6</w:t>
            </w:r>
            <w:r>
              <w:t xml:space="preserve"> incidents</w:t>
            </w:r>
            <w:r w:rsidRPr="00D90A35">
              <w:t xml:space="preserve">.  Assisting other agencies </w:t>
            </w:r>
            <w:r w:rsidR="000C549D">
              <w:t xml:space="preserve">accounted for a quarter of all calls.  </w:t>
            </w:r>
          </w:p>
          <w:p w14:paraId="29A7979F" w14:textId="77777777" w:rsidR="00D75172" w:rsidRDefault="00E063DA" w:rsidP="003160D7"/>
          <w:p w14:paraId="2B58B2B8" w14:textId="77777777" w:rsidR="003160D7" w:rsidRDefault="0054252B" w:rsidP="00D75172">
            <w:r>
              <w:t>S</w:t>
            </w:r>
            <w:r w:rsidRPr="00DA132C">
              <w:t xml:space="preserve">pecial service calls attended </w:t>
            </w:r>
            <w:r>
              <w:t xml:space="preserve">are counted </w:t>
            </w:r>
            <w:r w:rsidRPr="00DA132C">
              <w:t>for quality assurance only</w:t>
            </w:r>
            <w:r>
              <w:t xml:space="preserve"> as </w:t>
            </w:r>
            <w:proofErr w:type="gramStart"/>
            <w:r>
              <w:t>a number of</w:t>
            </w:r>
            <w:proofErr w:type="gramEnd"/>
            <w:r>
              <w:t xml:space="preserve"> incident types (particularly those where MFRS is assisting other agencies) are encouraged, rather than MFRS being in a position to take action to prevent them as is the case with most other emergency response activity.</w:t>
            </w:r>
            <w:r w:rsidRPr="00DA132C">
              <w:t xml:space="preserve">  </w:t>
            </w:r>
          </w:p>
          <w:p w14:paraId="1D7089A7" w14:textId="4DE02783" w:rsidR="00F313A4" w:rsidRPr="0021486A" w:rsidRDefault="00F313A4" w:rsidP="00D75172">
            <w:pPr>
              <w:rPr>
                <w:highlight w:val="yellow"/>
              </w:rPr>
            </w:pPr>
          </w:p>
        </w:tc>
      </w:tr>
      <w:tr w:rsidR="00C561B1" w14:paraId="50F6C2A0" w14:textId="77777777" w:rsidTr="003160D7">
        <w:tc>
          <w:tcPr>
            <w:tcW w:w="3062" w:type="dxa"/>
            <w:gridSpan w:val="4"/>
          </w:tcPr>
          <w:p w14:paraId="7CC94A41" w14:textId="77777777" w:rsidR="003160D7" w:rsidRDefault="0054252B" w:rsidP="003160D7">
            <w:pPr>
              <w:rPr>
                <w:b/>
              </w:rPr>
            </w:pPr>
            <w:r w:rsidRPr="007A1AAD">
              <w:rPr>
                <w:b/>
              </w:rPr>
              <w:lastRenderedPageBreak/>
              <w:t>RC11</w:t>
            </w:r>
          </w:p>
          <w:p w14:paraId="51329972" w14:textId="77777777" w:rsidR="003160D7" w:rsidRDefault="00E063DA" w:rsidP="003160D7">
            <w:pPr>
              <w:rPr>
                <w:b/>
              </w:rPr>
            </w:pPr>
          </w:p>
          <w:p w14:paraId="2CD9D85A" w14:textId="77777777" w:rsidR="003160D7" w:rsidRDefault="0054252B" w:rsidP="003160D7">
            <w:pPr>
              <w:rPr>
                <w:b/>
              </w:rPr>
            </w:pPr>
            <w:r>
              <w:rPr>
                <w:b/>
              </w:rPr>
              <w:t>RC12</w:t>
            </w:r>
          </w:p>
          <w:p w14:paraId="3C4DB49C" w14:textId="77777777" w:rsidR="003160D7" w:rsidRDefault="0054252B" w:rsidP="003160D7">
            <w:pPr>
              <w:rPr>
                <w:b/>
              </w:rPr>
            </w:pPr>
            <w:r>
              <w:rPr>
                <w:b/>
              </w:rPr>
              <w:t>RC13</w:t>
            </w:r>
          </w:p>
          <w:p w14:paraId="0C169C31" w14:textId="7D24CBCF" w:rsidR="00900646" w:rsidRDefault="0054252B" w:rsidP="003160D7">
            <w:pPr>
              <w:rPr>
                <w:b/>
              </w:rPr>
            </w:pPr>
            <w:r>
              <w:rPr>
                <w:b/>
              </w:rPr>
              <w:t>RC1</w:t>
            </w:r>
            <w:r w:rsidR="00F313A4">
              <w:rPr>
                <w:b/>
              </w:rPr>
              <w:t>6</w:t>
            </w:r>
          </w:p>
          <w:p w14:paraId="5A72BD45" w14:textId="77777777" w:rsidR="00900646" w:rsidRDefault="00E063DA" w:rsidP="003160D7">
            <w:pPr>
              <w:rPr>
                <w:b/>
              </w:rPr>
            </w:pPr>
          </w:p>
          <w:p w14:paraId="7ED3E61D" w14:textId="77777777" w:rsidR="00900646" w:rsidRDefault="00E063DA" w:rsidP="003160D7">
            <w:pPr>
              <w:rPr>
                <w:b/>
              </w:rPr>
            </w:pPr>
          </w:p>
          <w:p w14:paraId="222FF5E0" w14:textId="77777777" w:rsidR="00900646" w:rsidRDefault="0054252B" w:rsidP="003160D7">
            <w:r>
              <w:rPr>
                <w:b/>
              </w:rPr>
              <w:t>RC24</w:t>
            </w:r>
          </w:p>
        </w:tc>
        <w:tc>
          <w:tcPr>
            <w:tcW w:w="7384" w:type="dxa"/>
            <w:gridSpan w:val="5"/>
          </w:tcPr>
          <w:p w14:paraId="24F85849" w14:textId="6F95677D" w:rsidR="003160D7" w:rsidRDefault="0054252B" w:rsidP="003160D7">
            <w:r w:rsidRPr="00D50A30">
              <w:t>The number of R</w:t>
            </w:r>
            <w:r>
              <w:t xml:space="preserve">oad </w:t>
            </w:r>
            <w:r w:rsidRPr="00D50A30">
              <w:t>T</w:t>
            </w:r>
            <w:r>
              <w:t xml:space="preserve">raffic </w:t>
            </w:r>
            <w:r w:rsidRPr="00D50A30">
              <w:t>C</w:t>
            </w:r>
            <w:r>
              <w:t>ollisions</w:t>
            </w:r>
            <w:r w:rsidRPr="00D50A30">
              <w:t xml:space="preserve"> attended</w:t>
            </w:r>
            <w:r>
              <w:t xml:space="preserve"> (</w:t>
            </w:r>
            <w:r w:rsidR="00F313A4">
              <w:t>218</w:t>
            </w:r>
            <w:r>
              <w:t xml:space="preserve">) is </w:t>
            </w:r>
            <w:r w:rsidR="00F313A4">
              <w:t>high</w:t>
            </w:r>
            <w:r>
              <w:t>er than last year (</w:t>
            </w:r>
            <w:r w:rsidR="00F313A4">
              <w:t>198</w:t>
            </w:r>
            <w:r>
              <w:t>).</w:t>
            </w:r>
            <w:r w:rsidR="00F313A4">
              <w:t xml:space="preserve">  There is no target for this incident type. </w:t>
            </w:r>
            <w:r>
              <w:t xml:space="preserve">  </w:t>
            </w:r>
          </w:p>
          <w:p w14:paraId="41EBCAC4" w14:textId="2D93A552" w:rsidR="00F313A4" w:rsidRDefault="00F313A4" w:rsidP="003160D7">
            <w:proofErr w:type="gramStart"/>
            <w:r>
              <w:t>Sadly</w:t>
            </w:r>
            <w:proofErr w:type="gramEnd"/>
            <w:r>
              <w:t xml:space="preserve"> there has been 1</w:t>
            </w:r>
            <w:r w:rsidR="0054252B">
              <w:t xml:space="preserve"> fatalit</w:t>
            </w:r>
            <w:r>
              <w:t>y</w:t>
            </w:r>
            <w:r w:rsidR="0054252B">
              <w:t xml:space="preserve"> in </w:t>
            </w:r>
            <w:r>
              <w:t xml:space="preserve">an </w:t>
            </w:r>
            <w:r w:rsidR="0054252B">
              <w:t xml:space="preserve">RTC attended by MFRS and </w:t>
            </w:r>
            <w:r>
              <w:t>87</w:t>
            </w:r>
            <w:r w:rsidR="0054252B">
              <w:t xml:space="preserve"> injuries</w:t>
            </w:r>
            <w:r>
              <w:t xml:space="preserve"> (78 of which were slight injuries)</w:t>
            </w:r>
            <w:r w:rsidR="0054252B">
              <w:t xml:space="preserve">.  </w:t>
            </w:r>
          </w:p>
          <w:p w14:paraId="7FA51823" w14:textId="4EB966A9" w:rsidR="00900646" w:rsidRDefault="0054252B" w:rsidP="003160D7">
            <w:r>
              <w:t xml:space="preserve">Police ‘Killed and Seriously Injured’ data around the </w:t>
            </w:r>
            <w:proofErr w:type="gramStart"/>
            <w:r>
              <w:t>1</w:t>
            </w:r>
            <w:r w:rsidR="00F313A4">
              <w:t>5</w:t>
            </w:r>
            <w:r>
              <w:t>-2</w:t>
            </w:r>
            <w:r w:rsidR="00F313A4">
              <w:t>0</w:t>
            </w:r>
            <w:r>
              <w:t xml:space="preserve"> year old</w:t>
            </w:r>
            <w:proofErr w:type="gramEnd"/>
            <w:r>
              <w:t xml:space="preserve"> age group M</w:t>
            </w:r>
            <w:r w:rsidR="005402F9">
              <w:t>F</w:t>
            </w:r>
            <w:r>
              <w:t xml:space="preserve">RS Prevention teams target </w:t>
            </w:r>
            <w:r w:rsidR="00F313A4">
              <w:t>remained consistent with last year</w:t>
            </w:r>
            <w:r>
              <w:t xml:space="preserve"> (15 incidents attended) on 202</w:t>
            </w:r>
            <w:r w:rsidR="00F313A4">
              <w:t>2</w:t>
            </w:r>
            <w:r>
              <w:t>/2</w:t>
            </w:r>
            <w:r w:rsidR="00F313A4">
              <w:t>3</w:t>
            </w:r>
            <w:r>
              <w:t xml:space="preserve"> data (</w:t>
            </w:r>
            <w:r w:rsidR="00F313A4">
              <w:t>15</w:t>
            </w:r>
            <w:r>
              <w:t>)</w:t>
            </w:r>
          </w:p>
          <w:p w14:paraId="1105A544" w14:textId="6B75CF92" w:rsidR="005402F9" w:rsidRDefault="0054252B" w:rsidP="005402F9">
            <w:r>
              <w:t xml:space="preserve">Water rescues are also included in Special Service calls and this type of incident has </w:t>
            </w:r>
            <w:r w:rsidR="005402F9">
              <w:t xml:space="preserve">increased to 16 water rescue incidents during Q1 compared to 4 in 2022.  This could be due to the exceptionally hot weather in June.  Sadly this </w:t>
            </w:r>
            <w:proofErr w:type="gramStart"/>
            <w:r w:rsidR="005402F9">
              <w:t>includes  the</w:t>
            </w:r>
            <w:proofErr w:type="gramEnd"/>
            <w:r w:rsidR="005402F9">
              <w:t xml:space="preserve"> tragic incident at </w:t>
            </w:r>
            <w:proofErr w:type="spellStart"/>
            <w:r w:rsidR="005402F9">
              <w:t>Carr</w:t>
            </w:r>
            <w:proofErr w:type="spellEnd"/>
            <w:r w:rsidR="005402F9">
              <w:t xml:space="preserve"> Mill Dam were the young teenager last her life.</w:t>
            </w:r>
          </w:p>
          <w:p w14:paraId="21A900C3" w14:textId="77777777" w:rsidR="005402F9" w:rsidRPr="00A30CD1" w:rsidRDefault="005402F9" w:rsidP="005402F9"/>
          <w:p w14:paraId="7B9BFABC" w14:textId="20A1D9AD" w:rsidR="00900646" w:rsidRDefault="0054252B" w:rsidP="003160D7">
            <w:r>
              <w:t xml:space="preserve">This incident type includes rescues from floods, rivers including the Mersey, park lakes and ponds. As with road traffic collisions, arson and antisocial behaviour, the community safety team takes action with partners to reduce these types of </w:t>
            </w:r>
            <w:proofErr w:type="gramStart"/>
            <w:r>
              <w:t>incident</w:t>
            </w:r>
            <w:proofErr w:type="gramEnd"/>
            <w:r>
              <w:t>.</w:t>
            </w:r>
          </w:p>
          <w:p w14:paraId="29EF0099" w14:textId="77777777" w:rsidR="00900646" w:rsidRPr="00D50A30" w:rsidRDefault="00E063DA" w:rsidP="003160D7"/>
        </w:tc>
      </w:tr>
    </w:tbl>
    <w:p w14:paraId="2595542F" w14:textId="77777777" w:rsidR="003160D7" w:rsidRDefault="00E063DA"/>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914"/>
        <w:gridCol w:w="122"/>
        <w:gridCol w:w="2034"/>
        <w:gridCol w:w="3185"/>
        <w:gridCol w:w="2191"/>
      </w:tblGrid>
      <w:tr w:rsidR="00C561B1" w14:paraId="51BB73BB" w14:textId="77777777" w:rsidTr="003160D7">
        <w:tc>
          <w:tcPr>
            <w:tcW w:w="10446" w:type="dxa"/>
            <w:gridSpan w:val="5"/>
            <w:shd w:val="clear" w:color="auto" w:fill="5B9BD5" w:themeFill="accent1"/>
          </w:tcPr>
          <w:p w14:paraId="6CCB63AA" w14:textId="77777777" w:rsidR="003160D7" w:rsidRPr="005F20DB" w:rsidRDefault="0054252B" w:rsidP="003160D7">
            <w:pPr>
              <w:rPr>
                <w:b/>
                <w:color w:val="FFFF00"/>
                <w:sz w:val="28"/>
                <w:szCs w:val="28"/>
              </w:rPr>
            </w:pPr>
            <w:r w:rsidRPr="00681F4B">
              <w:rPr>
                <w:b/>
                <w:color w:val="FFFFFF" w:themeColor="background1"/>
                <w:sz w:val="28"/>
                <w:szCs w:val="28"/>
              </w:rPr>
              <w:t>TC</w:t>
            </w:r>
            <w:proofErr w:type="gramStart"/>
            <w:r w:rsidRPr="00681F4B">
              <w:rPr>
                <w:b/>
                <w:color w:val="FFFFFF" w:themeColor="background1"/>
                <w:sz w:val="28"/>
                <w:szCs w:val="28"/>
              </w:rPr>
              <w:t>06  Total</w:t>
            </w:r>
            <w:proofErr w:type="gramEnd"/>
            <w:r w:rsidRPr="00681F4B">
              <w:rPr>
                <w:b/>
                <w:color w:val="FFFFFF" w:themeColor="background1"/>
                <w:sz w:val="28"/>
                <w:szCs w:val="28"/>
              </w:rPr>
              <w:t xml:space="preserve"> number of false alarms attended</w:t>
            </w:r>
          </w:p>
        </w:tc>
      </w:tr>
      <w:tr w:rsidR="00C561B1" w14:paraId="74B6B5FB" w14:textId="77777777" w:rsidTr="00A25B0A">
        <w:tc>
          <w:tcPr>
            <w:tcW w:w="2914" w:type="dxa"/>
            <w:shd w:val="clear" w:color="auto" w:fill="FFFF00"/>
            <w:vAlign w:val="center"/>
          </w:tcPr>
          <w:p w14:paraId="1F53BA42" w14:textId="77777777" w:rsidR="003160D7" w:rsidRDefault="0054252B" w:rsidP="003160D7">
            <w:pPr>
              <w:jc w:val="center"/>
            </w:pPr>
            <w:r w:rsidRPr="00C63E5E">
              <w:t>Service Plan Target</w:t>
            </w:r>
          </w:p>
          <w:p w14:paraId="6A1D29F9" w14:textId="6AE90666" w:rsidR="003160D7" w:rsidRDefault="0054252B" w:rsidP="003160D7">
            <w:pPr>
              <w:jc w:val="center"/>
            </w:pPr>
            <w:r>
              <w:t xml:space="preserve">Apr-June </w:t>
            </w:r>
            <w:r w:rsidR="00BD5E8A">
              <w:t>2023</w:t>
            </w:r>
          </w:p>
        </w:tc>
        <w:tc>
          <w:tcPr>
            <w:tcW w:w="2156" w:type="dxa"/>
            <w:gridSpan w:val="2"/>
            <w:shd w:val="clear" w:color="auto" w:fill="D9E2F3" w:themeFill="accent5" w:themeFillTint="33"/>
            <w:vAlign w:val="center"/>
          </w:tcPr>
          <w:p w14:paraId="7BE037E7" w14:textId="3E2C7B69" w:rsidR="003160D7" w:rsidRPr="00117961" w:rsidRDefault="0054252B" w:rsidP="003160D7">
            <w:pPr>
              <w:jc w:val="center"/>
              <w:rPr>
                <w:b/>
              </w:rPr>
            </w:pPr>
            <w:r>
              <w:rPr>
                <w:b/>
              </w:rPr>
              <w:t>1</w:t>
            </w:r>
            <w:r w:rsidR="00A25B0A">
              <w:rPr>
                <w:b/>
              </w:rPr>
              <w:t>457</w:t>
            </w:r>
          </w:p>
        </w:tc>
        <w:tc>
          <w:tcPr>
            <w:tcW w:w="3185" w:type="dxa"/>
            <w:shd w:val="clear" w:color="auto" w:fill="FFFF00"/>
            <w:vAlign w:val="center"/>
          </w:tcPr>
          <w:p w14:paraId="63CDA22F" w14:textId="77777777" w:rsidR="003160D7" w:rsidRDefault="0054252B" w:rsidP="003160D7">
            <w:pPr>
              <w:jc w:val="center"/>
            </w:pPr>
            <w:r w:rsidRPr="00C63E5E">
              <w:t>Progress to Date</w:t>
            </w:r>
          </w:p>
        </w:tc>
        <w:tc>
          <w:tcPr>
            <w:tcW w:w="2191" w:type="dxa"/>
            <w:shd w:val="clear" w:color="auto" w:fill="FFC000"/>
            <w:vAlign w:val="center"/>
          </w:tcPr>
          <w:p w14:paraId="62D3DC49" w14:textId="651D822E" w:rsidR="003160D7" w:rsidRPr="006C577F" w:rsidRDefault="0054252B" w:rsidP="003160D7">
            <w:pPr>
              <w:jc w:val="center"/>
              <w:rPr>
                <w:b/>
              </w:rPr>
            </w:pPr>
            <w:r w:rsidRPr="008E18C3">
              <w:rPr>
                <w:b/>
              </w:rPr>
              <w:t>1</w:t>
            </w:r>
            <w:r w:rsidR="00A25B0A" w:rsidRPr="008E18C3">
              <w:rPr>
                <w:b/>
              </w:rPr>
              <w:t>60</w:t>
            </w:r>
            <w:r w:rsidR="008E18C3" w:rsidRPr="008E18C3">
              <w:rPr>
                <w:b/>
              </w:rPr>
              <w:t>8</w:t>
            </w:r>
          </w:p>
        </w:tc>
      </w:tr>
      <w:tr w:rsidR="00C561B1" w14:paraId="112F95BC" w14:textId="77777777" w:rsidTr="001C2EFA">
        <w:tc>
          <w:tcPr>
            <w:tcW w:w="10446" w:type="dxa"/>
            <w:gridSpan w:val="5"/>
          </w:tcPr>
          <w:p w14:paraId="207059BE" w14:textId="30D4E9E8" w:rsidR="003160D7" w:rsidRDefault="001C2EFA" w:rsidP="001A63FE">
            <w:pPr>
              <w:jc w:val="center"/>
              <w:rPr>
                <w:noProof/>
                <w:lang w:eastAsia="en-GB"/>
              </w:rPr>
            </w:pPr>
            <w:r>
              <w:rPr>
                <w:noProof/>
              </w:rPr>
              <w:drawing>
                <wp:inline distT="0" distB="0" distL="0" distR="0" wp14:anchorId="731E4358" wp14:editId="6B0A6D8B">
                  <wp:extent cx="5772150" cy="2660400"/>
                  <wp:effectExtent l="0" t="0" r="0" b="6985"/>
                  <wp:docPr id="19" name="Chart 19">
                    <a:extLst xmlns:a="http://schemas.openxmlformats.org/drawingml/2006/main">
                      <a:ext uri="{FF2B5EF4-FFF2-40B4-BE49-F238E27FC236}">
                        <a16:creationId xmlns:a16="http://schemas.microsoft.com/office/drawing/2014/main" id="{00000000-0008-0000-06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C561B1" w14:paraId="0A4B6940" w14:textId="77777777" w:rsidTr="00A25B0A">
        <w:tc>
          <w:tcPr>
            <w:tcW w:w="5070" w:type="dxa"/>
            <w:gridSpan w:val="3"/>
          </w:tcPr>
          <w:p w14:paraId="698FFA40" w14:textId="77777777" w:rsidR="003160D7" w:rsidRPr="007A1AAD" w:rsidRDefault="0054252B" w:rsidP="003160D7">
            <w:pPr>
              <w:rPr>
                <w:b/>
              </w:rPr>
            </w:pPr>
            <w:r w:rsidRPr="007A1AAD">
              <w:rPr>
                <w:b/>
              </w:rPr>
              <w:t>TC06 Total number of false alarms attended</w:t>
            </w:r>
          </w:p>
          <w:p w14:paraId="538068DA" w14:textId="77777777" w:rsidR="003160D7" w:rsidRDefault="00E063DA" w:rsidP="003160D7"/>
        </w:tc>
        <w:tc>
          <w:tcPr>
            <w:tcW w:w="5376" w:type="dxa"/>
            <w:gridSpan w:val="2"/>
            <w:shd w:val="clear" w:color="auto" w:fill="FFC000"/>
          </w:tcPr>
          <w:p w14:paraId="004359DA" w14:textId="77777777" w:rsidR="003160D7" w:rsidRDefault="00E063DA" w:rsidP="003160D7"/>
          <w:p w14:paraId="32DAADD4" w14:textId="77777777" w:rsidR="003160D7" w:rsidRDefault="00E063DA" w:rsidP="003160D7"/>
        </w:tc>
      </w:tr>
      <w:tr w:rsidR="00C561B1" w14:paraId="50E1447F" w14:textId="77777777" w:rsidTr="003160D7">
        <w:tc>
          <w:tcPr>
            <w:tcW w:w="3036" w:type="dxa"/>
            <w:gridSpan w:val="2"/>
          </w:tcPr>
          <w:p w14:paraId="0A1165D7" w14:textId="77777777" w:rsidR="003160D7" w:rsidRDefault="0054252B" w:rsidP="003160D7">
            <w:pPr>
              <w:rPr>
                <w:b/>
              </w:rPr>
            </w:pPr>
            <w:r w:rsidRPr="007A1AAD">
              <w:rPr>
                <w:b/>
              </w:rPr>
              <w:t>TC06</w:t>
            </w:r>
          </w:p>
          <w:p w14:paraId="587C9550" w14:textId="77777777" w:rsidR="003160D7" w:rsidRDefault="00E063DA" w:rsidP="003160D7">
            <w:pPr>
              <w:rPr>
                <w:b/>
              </w:rPr>
            </w:pPr>
          </w:p>
          <w:p w14:paraId="3E78FE59" w14:textId="77777777" w:rsidR="00D90A35" w:rsidRDefault="00E063DA" w:rsidP="003160D7">
            <w:pPr>
              <w:rPr>
                <w:b/>
              </w:rPr>
            </w:pPr>
          </w:p>
          <w:p w14:paraId="42C25F78" w14:textId="77777777" w:rsidR="00E16E0B" w:rsidRDefault="00E063DA" w:rsidP="003160D7">
            <w:pPr>
              <w:rPr>
                <w:b/>
              </w:rPr>
            </w:pPr>
          </w:p>
          <w:p w14:paraId="35D54ED8" w14:textId="77777777" w:rsidR="00E16E0B" w:rsidRDefault="00E063DA" w:rsidP="003160D7">
            <w:pPr>
              <w:rPr>
                <w:b/>
              </w:rPr>
            </w:pPr>
          </w:p>
          <w:p w14:paraId="533E7C8D" w14:textId="77777777" w:rsidR="00E16E0B" w:rsidRDefault="00E063DA" w:rsidP="003160D7">
            <w:pPr>
              <w:rPr>
                <w:b/>
              </w:rPr>
            </w:pPr>
          </w:p>
          <w:p w14:paraId="1F3CFD06" w14:textId="5EF1CE00" w:rsidR="003160D7" w:rsidRDefault="0054252B" w:rsidP="003160D7">
            <w:pPr>
              <w:rPr>
                <w:b/>
              </w:rPr>
            </w:pPr>
            <w:r>
              <w:rPr>
                <w:b/>
              </w:rPr>
              <w:t>FC2</w:t>
            </w:r>
            <w:r w:rsidR="00C86D27">
              <w:rPr>
                <w:b/>
              </w:rPr>
              <w:t>4</w:t>
            </w:r>
          </w:p>
          <w:p w14:paraId="01C393D1" w14:textId="77777777" w:rsidR="003160D7" w:rsidRDefault="00E063DA" w:rsidP="003160D7">
            <w:pPr>
              <w:rPr>
                <w:b/>
              </w:rPr>
            </w:pPr>
          </w:p>
          <w:p w14:paraId="470A7B16" w14:textId="77777777" w:rsidR="003160D7" w:rsidRDefault="00E063DA" w:rsidP="003160D7">
            <w:pPr>
              <w:rPr>
                <w:b/>
              </w:rPr>
            </w:pPr>
          </w:p>
          <w:p w14:paraId="7820E3BE" w14:textId="32B1E19B" w:rsidR="003160D7" w:rsidRDefault="00E063DA" w:rsidP="003160D7">
            <w:pPr>
              <w:rPr>
                <w:b/>
              </w:rPr>
            </w:pPr>
          </w:p>
          <w:p w14:paraId="6D28CB27" w14:textId="77777777" w:rsidR="00C86D27" w:rsidRDefault="00C86D27" w:rsidP="003160D7">
            <w:pPr>
              <w:rPr>
                <w:b/>
              </w:rPr>
            </w:pPr>
          </w:p>
          <w:p w14:paraId="20CDDE52" w14:textId="705CA88A" w:rsidR="003160D7" w:rsidRPr="007A1AAD" w:rsidRDefault="0054252B" w:rsidP="003160D7">
            <w:pPr>
              <w:rPr>
                <w:b/>
              </w:rPr>
            </w:pPr>
            <w:r>
              <w:rPr>
                <w:b/>
              </w:rPr>
              <w:t>FC</w:t>
            </w:r>
            <w:r w:rsidR="00C86D27">
              <w:rPr>
                <w:b/>
              </w:rPr>
              <w:t>22</w:t>
            </w:r>
          </w:p>
        </w:tc>
        <w:tc>
          <w:tcPr>
            <w:tcW w:w="7410" w:type="dxa"/>
            <w:gridSpan w:val="3"/>
          </w:tcPr>
          <w:p w14:paraId="14D6B1A7" w14:textId="12A0BCE3" w:rsidR="003160D7" w:rsidRDefault="0054252B" w:rsidP="003160D7">
            <w:r>
              <w:t>The number of false alarms attended (</w:t>
            </w:r>
            <w:r w:rsidR="008E18C3">
              <w:t>1606</w:t>
            </w:r>
            <w:r>
              <w:t>) have increased when compared to last year (</w:t>
            </w:r>
            <w:r w:rsidR="008E18C3">
              <w:t>1457</w:t>
            </w:r>
            <w:r>
              <w:t xml:space="preserve">) but remains within 10% of the cumulative target for Q1 </w:t>
            </w:r>
            <w:r w:rsidR="00BD5E8A">
              <w:t>2023</w:t>
            </w:r>
            <w:r>
              <w:t>/2</w:t>
            </w:r>
            <w:r w:rsidR="00E063DA">
              <w:t>4</w:t>
            </w:r>
            <w:r>
              <w:t xml:space="preserve"> target (701).  The number of incidents</w:t>
            </w:r>
            <w:r w:rsidR="008E18C3">
              <w:t>, although higher than average,</w:t>
            </w:r>
            <w:r>
              <w:t xml:space="preserve"> have remained </w:t>
            </w:r>
            <w:proofErr w:type="gramStart"/>
            <w:r>
              <w:t>fairly consistent</w:t>
            </w:r>
            <w:proofErr w:type="gramEnd"/>
            <w:r>
              <w:t xml:space="preserve"> each month</w:t>
            </w:r>
            <w:r w:rsidR="008E18C3">
              <w:t xml:space="preserve"> at around 514-549.  Faults on systems remain one of the main reasons for calls. </w:t>
            </w:r>
          </w:p>
          <w:p w14:paraId="0B6A208C" w14:textId="77777777" w:rsidR="003160D7" w:rsidRDefault="00E063DA" w:rsidP="003160D7"/>
          <w:p w14:paraId="016F5C47" w14:textId="73A8EDA6" w:rsidR="003361CD" w:rsidRDefault="0054252B" w:rsidP="003361CD">
            <w:r>
              <w:t>The total number of False Alarm Good Intent incidents attended</w:t>
            </w:r>
            <w:r w:rsidR="00C86D27">
              <w:t xml:space="preserve"> including Alarm Receiving Centre domestic incidents</w:t>
            </w:r>
            <w:r>
              <w:t xml:space="preserve"> during the year April to June </w:t>
            </w:r>
            <w:r w:rsidR="00BD5E8A">
              <w:t>2023</w:t>
            </w:r>
            <w:r>
              <w:t xml:space="preserve"> were </w:t>
            </w:r>
            <w:r w:rsidR="00C86D27">
              <w:t>870</w:t>
            </w:r>
            <w:r>
              <w:t xml:space="preserve">.  This is </w:t>
            </w:r>
            <w:r w:rsidR="00C86D27">
              <w:t>10</w:t>
            </w:r>
            <w:r>
              <w:t xml:space="preserve">5 </w:t>
            </w:r>
            <w:r w:rsidR="00C86D27">
              <w:t>more</w:t>
            </w:r>
            <w:r>
              <w:t xml:space="preserve"> than at this time in </w:t>
            </w:r>
            <w:proofErr w:type="gramStart"/>
            <w:r>
              <w:t>202</w:t>
            </w:r>
            <w:r w:rsidR="00C86D27">
              <w:t xml:space="preserve">2 </w:t>
            </w:r>
            <w:r>
              <w:t xml:space="preserve"> (</w:t>
            </w:r>
            <w:proofErr w:type="gramEnd"/>
            <w:r w:rsidR="00C86D27">
              <w:t>765</w:t>
            </w:r>
            <w:r>
              <w:t>) the</w:t>
            </w:r>
            <w:r w:rsidR="00C86D27">
              <w:t>re is no</w:t>
            </w:r>
            <w:r>
              <w:t xml:space="preserve"> target </w:t>
            </w:r>
            <w:r w:rsidR="00C86D27">
              <w:t>for this indicator as we do not want to discourage calls</w:t>
            </w:r>
            <w:r>
              <w:t>.</w:t>
            </w:r>
          </w:p>
          <w:p w14:paraId="2833B2DC" w14:textId="77777777" w:rsidR="00325D5D" w:rsidRDefault="00E063DA" w:rsidP="003361CD"/>
          <w:p w14:paraId="1ECA8DE9" w14:textId="77777777" w:rsidR="003160D7" w:rsidRDefault="00C86D27" w:rsidP="00325D5D">
            <w:r>
              <w:t xml:space="preserve">Malicious </w:t>
            </w:r>
            <w:r w:rsidR="0054252B">
              <w:t>False Alarm</w:t>
            </w:r>
            <w:r>
              <w:t xml:space="preserve"> received were very low with 21 incidents compared to 27 last year and 46 incidents 5 years ago in 2018/19</w:t>
            </w:r>
          </w:p>
          <w:p w14:paraId="62617C0F" w14:textId="4079E171" w:rsidR="00C86D27" w:rsidRDefault="00C86D27" w:rsidP="00325D5D"/>
        </w:tc>
      </w:tr>
    </w:tbl>
    <w:p w14:paraId="6D0D93A7" w14:textId="77777777" w:rsidR="003160D7" w:rsidRDefault="0054252B">
      <w:r>
        <w:br w:type="page"/>
      </w:r>
    </w:p>
    <w:tbl>
      <w:tblPr>
        <w:tblStyle w:val="TableGrid"/>
        <w:tblpPr w:leftFromText="180" w:rightFromText="180" w:vertAnchor="text" w:horzAnchor="margin" w:tblpY="1"/>
        <w:tblOverlap w:val="never"/>
        <w:tblW w:w="10338" w:type="dxa"/>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ayout w:type="fixed"/>
        <w:tblLook w:val="04A0" w:firstRow="1" w:lastRow="0" w:firstColumn="1" w:lastColumn="0" w:noHBand="0" w:noVBand="1"/>
      </w:tblPr>
      <w:tblGrid>
        <w:gridCol w:w="2825"/>
        <w:gridCol w:w="1843"/>
        <w:gridCol w:w="2268"/>
        <w:gridCol w:w="3402"/>
      </w:tblGrid>
      <w:tr w:rsidR="00C561B1" w14:paraId="6A380DA0" w14:textId="77777777" w:rsidTr="003160D7">
        <w:tc>
          <w:tcPr>
            <w:tcW w:w="10338" w:type="dxa"/>
            <w:gridSpan w:val="4"/>
            <w:shd w:val="clear" w:color="auto" w:fill="5B9BD5" w:themeFill="accent1"/>
          </w:tcPr>
          <w:p w14:paraId="3CE64D80" w14:textId="77777777" w:rsidR="003160D7" w:rsidRPr="005F20DB" w:rsidRDefault="0054252B" w:rsidP="003160D7">
            <w:pPr>
              <w:rPr>
                <w:b/>
                <w:color w:val="FFFFFF" w:themeColor="background1"/>
                <w:sz w:val="28"/>
                <w:szCs w:val="28"/>
              </w:rPr>
            </w:pPr>
            <w:r w:rsidRPr="00681F4B">
              <w:rPr>
                <w:b/>
                <w:color w:val="FFFFFF" w:themeColor="background1"/>
                <w:sz w:val="28"/>
                <w:szCs w:val="28"/>
              </w:rPr>
              <w:lastRenderedPageBreak/>
              <w:t>TR</w:t>
            </w:r>
            <w:proofErr w:type="gramStart"/>
            <w:r w:rsidRPr="00681F4B">
              <w:rPr>
                <w:b/>
                <w:color w:val="FFFFFF" w:themeColor="background1"/>
                <w:sz w:val="28"/>
                <w:szCs w:val="28"/>
              </w:rPr>
              <w:t>08  Attendance</w:t>
            </w:r>
            <w:proofErr w:type="gramEnd"/>
            <w:r w:rsidRPr="00681F4B">
              <w:rPr>
                <w:b/>
                <w:color w:val="FFFFFF" w:themeColor="background1"/>
                <w:sz w:val="28"/>
                <w:szCs w:val="28"/>
              </w:rPr>
              <w:t xml:space="preserve"> standard – the first attendance of an appliance at all life risk incidents in 10 minutes</w:t>
            </w:r>
          </w:p>
        </w:tc>
      </w:tr>
      <w:tr w:rsidR="00C561B1" w14:paraId="6BE2D2F1" w14:textId="77777777" w:rsidTr="003160D7">
        <w:trPr>
          <w:trHeight w:val="567"/>
        </w:trPr>
        <w:tc>
          <w:tcPr>
            <w:tcW w:w="2825" w:type="dxa"/>
            <w:shd w:val="clear" w:color="auto" w:fill="FFFF00"/>
            <w:vAlign w:val="center"/>
          </w:tcPr>
          <w:p w14:paraId="036FA312" w14:textId="77777777" w:rsidR="003160D7" w:rsidRDefault="0054252B" w:rsidP="003160D7">
            <w:pPr>
              <w:jc w:val="center"/>
            </w:pPr>
            <w:r w:rsidRPr="00C63E5E">
              <w:t>Service Plan Target</w:t>
            </w:r>
          </w:p>
          <w:p w14:paraId="6CCFAB40" w14:textId="320A00C3" w:rsidR="003160D7" w:rsidRDefault="0054252B" w:rsidP="003160D7">
            <w:pPr>
              <w:jc w:val="center"/>
            </w:pPr>
            <w:r>
              <w:t xml:space="preserve">Apr-June </w:t>
            </w:r>
            <w:r w:rsidR="00BD5E8A">
              <w:t>2023</w:t>
            </w:r>
          </w:p>
        </w:tc>
        <w:tc>
          <w:tcPr>
            <w:tcW w:w="1843" w:type="dxa"/>
            <w:shd w:val="clear" w:color="auto" w:fill="D9E2F3" w:themeFill="accent5" w:themeFillTint="33"/>
            <w:vAlign w:val="center"/>
          </w:tcPr>
          <w:p w14:paraId="75E99B8D" w14:textId="77777777" w:rsidR="003160D7" w:rsidRPr="00117961" w:rsidRDefault="0054252B" w:rsidP="003160D7">
            <w:pPr>
              <w:jc w:val="center"/>
              <w:rPr>
                <w:b/>
              </w:rPr>
            </w:pPr>
            <w:r w:rsidRPr="00117961">
              <w:rPr>
                <w:b/>
              </w:rPr>
              <w:t>90%</w:t>
            </w:r>
          </w:p>
        </w:tc>
        <w:tc>
          <w:tcPr>
            <w:tcW w:w="2268" w:type="dxa"/>
            <w:shd w:val="clear" w:color="auto" w:fill="FFFF00"/>
            <w:vAlign w:val="center"/>
          </w:tcPr>
          <w:p w14:paraId="1E01603E" w14:textId="77777777" w:rsidR="003160D7" w:rsidRDefault="0054252B" w:rsidP="003160D7">
            <w:pPr>
              <w:jc w:val="center"/>
            </w:pPr>
            <w:r w:rsidRPr="00C63E5E">
              <w:t>Progress to Date</w:t>
            </w:r>
          </w:p>
        </w:tc>
        <w:tc>
          <w:tcPr>
            <w:tcW w:w="3402" w:type="dxa"/>
            <w:shd w:val="clear" w:color="auto" w:fill="00B050"/>
            <w:vAlign w:val="center"/>
          </w:tcPr>
          <w:p w14:paraId="35D5F348" w14:textId="04D4F22C" w:rsidR="003160D7" w:rsidRPr="00681F4B" w:rsidRDefault="0054252B" w:rsidP="003160D7">
            <w:pPr>
              <w:jc w:val="center"/>
              <w:rPr>
                <w:b/>
                <w:color w:val="FFFFFF" w:themeColor="background1"/>
              </w:rPr>
            </w:pPr>
            <w:r>
              <w:rPr>
                <w:b/>
                <w:color w:val="FFFFFF" w:themeColor="background1"/>
              </w:rPr>
              <w:t>95.</w:t>
            </w:r>
            <w:r w:rsidR="00A25B0A">
              <w:rPr>
                <w:b/>
                <w:color w:val="FFFFFF" w:themeColor="background1"/>
              </w:rPr>
              <w:t>7</w:t>
            </w:r>
            <w:r w:rsidRPr="003A7EC2">
              <w:rPr>
                <w:b/>
                <w:color w:val="FFFFFF" w:themeColor="background1"/>
              </w:rPr>
              <w:t>%</w:t>
            </w:r>
          </w:p>
        </w:tc>
      </w:tr>
      <w:tr w:rsidR="00C561B1" w14:paraId="1B738B43" w14:textId="77777777" w:rsidTr="001C2EFA">
        <w:tc>
          <w:tcPr>
            <w:tcW w:w="10338" w:type="dxa"/>
            <w:gridSpan w:val="4"/>
          </w:tcPr>
          <w:p w14:paraId="77C353D2" w14:textId="4DC14B35" w:rsidR="003160D7" w:rsidRDefault="001C2EFA" w:rsidP="001A63FE">
            <w:pPr>
              <w:jc w:val="center"/>
              <w:rPr>
                <w:noProof/>
                <w:lang w:eastAsia="en-GB"/>
              </w:rPr>
            </w:pPr>
            <w:r>
              <w:rPr>
                <w:noProof/>
              </w:rPr>
              <w:drawing>
                <wp:inline distT="0" distB="0" distL="0" distR="0" wp14:anchorId="0B6F08BF" wp14:editId="3DAF4EB8">
                  <wp:extent cx="5734050" cy="2612774"/>
                  <wp:effectExtent l="0" t="0" r="0" b="16510"/>
                  <wp:docPr id="20" name="Chart 20">
                    <a:extLst xmlns:a="http://schemas.openxmlformats.org/drawingml/2006/main">
                      <a:ext uri="{FF2B5EF4-FFF2-40B4-BE49-F238E27FC236}">
                        <a16:creationId xmlns:a16="http://schemas.microsoft.com/office/drawing/2014/main" id="{00000000-0008-0000-0600-00001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bl>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3036"/>
        <w:gridCol w:w="2175"/>
        <w:gridCol w:w="5127"/>
      </w:tblGrid>
      <w:tr w:rsidR="00C561B1" w14:paraId="40F16B49" w14:textId="77777777" w:rsidTr="003160D7">
        <w:tc>
          <w:tcPr>
            <w:tcW w:w="5211" w:type="dxa"/>
            <w:gridSpan w:val="2"/>
            <w:vMerge w:val="restart"/>
          </w:tcPr>
          <w:p w14:paraId="3AB25970" w14:textId="77777777" w:rsidR="003160D7" w:rsidRPr="007A1AAD" w:rsidRDefault="0054252B" w:rsidP="003160D7">
            <w:pPr>
              <w:rPr>
                <w:b/>
              </w:rPr>
            </w:pPr>
            <w:r w:rsidRPr="007A1AAD">
              <w:rPr>
                <w:b/>
              </w:rPr>
              <w:t>TR08 Attendance Standard – first attendance of an appliance at all life risk incidents in 10 minutes</w:t>
            </w:r>
          </w:p>
          <w:p w14:paraId="671DFE31" w14:textId="77777777" w:rsidR="003160D7" w:rsidRDefault="0054252B" w:rsidP="003160D7">
            <w:r w:rsidRPr="007A1AAD">
              <w:rPr>
                <w:b/>
              </w:rPr>
              <w:t>DR23 Alert to mobile in under 1.9 minutes</w:t>
            </w:r>
          </w:p>
        </w:tc>
        <w:tc>
          <w:tcPr>
            <w:tcW w:w="5127" w:type="dxa"/>
            <w:shd w:val="clear" w:color="auto" w:fill="00B050"/>
          </w:tcPr>
          <w:p w14:paraId="04AD9C35" w14:textId="77777777" w:rsidR="003160D7" w:rsidRDefault="00E063DA" w:rsidP="003160D7"/>
          <w:p w14:paraId="134E6124" w14:textId="77777777" w:rsidR="003160D7" w:rsidRDefault="00E063DA" w:rsidP="003160D7"/>
        </w:tc>
      </w:tr>
      <w:tr w:rsidR="00C561B1" w14:paraId="09BB42A4" w14:textId="77777777" w:rsidTr="003160D7">
        <w:tc>
          <w:tcPr>
            <w:tcW w:w="5211" w:type="dxa"/>
            <w:gridSpan w:val="2"/>
            <w:vMerge/>
          </w:tcPr>
          <w:p w14:paraId="08AD94C2" w14:textId="77777777" w:rsidR="003160D7" w:rsidRDefault="00E063DA" w:rsidP="003160D7"/>
        </w:tc>
        <w:tc>
          <w:tcPr>
            <w:tcW w:w="5127" w:type="dxa"/>
            <w:shd w:val="clear" w:color="auto" w:fill="00B050"/>
          </w:tcPr>
          <w:p w14:paraId="063083AA" w14:textId="77777777" w:rsidR="003160D7" w:rsidRDefault="00E063DA" w:rsidP="003160D7"/>
          <w:p w14:paraId="0E37B22E" w14:textId="77777777" w:rsidR="003160D7" w:rsidRDefault="00E063DA" w:rsidP="003160D7"/>
        </w:tc>
      </w:tr>
      <w:tr w:rsidR="00C561B1" w14:paraId="6F9E93F8" w14:textId="77777777" w:rsidTr="003160D7">
        <w:tc>
          <w:tcPr>
            <w:tcW w:w="3036" w:type="dxa"/>
          </w:tcPr>
          <w:p w14:paraId="6FF83C55" w14:textId="77777777" w:rsidR="003160D7" w:rsidRDefault="00E063DA" w:rsidP="003160D7"/>
          <w:p w14:paraId="212F6FE8" w14:textId="77777777" w:rsidR="003160D7" w:rsidRPr="007A1AAD" w:rsidRDefault="0054252B" w:rsidP="003160D7">
            <w:pPr>
              <w:rPr>
                <w:b/>
              </w:rPr>
            </w:pPr>
            <w:r w:rsidRPr="007A1AAD">
              <w:rPr>
                <w:b/>
              </w:rPr>
              <w:t>TR08</w:t>
            </w:r>
          </w:p>
        </w:tc>
        <w:tc>
          <w:tcPr>
            <w:tcW w:w="7302" w:type="dxa"/>
            <w:gridSpan w:val="2"/>
          </w:tcPr>
          <w:p w14:paraId="7CA02033" w14:textId="77777777" w:rsidR="003160D7" w:rsidRDefault="0054252B" w:rsidP="003160D7">
            <w:r>
              <w:t>Operational staff attained the attendance standard of the first attendance of an appliance at a life risk incident within 10 minutes on 95.</w:t>
            </w:r>
            <w:r w:rsidR="00CB375D">
              <w:t>7</w:t>
            </w:r>
            <w:r>
              <w:t xml:space="preserve">% of occasions, better than the target of 90%.  </w:t>
            </w:r>
          </w:p>
          <w:p w14:paraId="33E4E7D5" w14:textId="3B7B19F8" w:rsidR="00E063DA" w:rsidRDefault="00E063DA" w:rsidP="003160D7"/>
        </w:tc>
      </w:tr>
      <w:tr w:rsidR="00C561B1" w14:paraId="2831F433" w14:textId="77777777" w:rsidTr="003160D7">
        <w:tc>
          <w:tcPr>
            <w:tcW w:w="3036" w:type="dxa"/>
          </w:tcPr>
          <w:p w14:paraId="319F76C6" w14:textId="77777777" w:rsidR="003160D7" w:rsidRDefault="00E063DA" w:rsidP="003160D7"/>
          <w:p w14:paraId="4D9C5023" w14:textId="77777777" w:rsidR="003160D7" w:rsidRPr="007A1AAD" w:rsidRDefault="0054252B" w:rsidP="003160D7">
            <w:pPr>
              <w:rPr>
                <w:b/>
              </w:rPr>
            </w:pPr>
            <w:r w:rsidRPr="007A1AAD">
              <w:rPr>
                <w:b/>
              </w:rPr>
              <w:t>DR23</w:t>
            </w:r>
          </w:p>
        </w:tc>
        <w:tc>
          <w:tcPr>
            <w:tcW w:w="7302" w:type="dxa"/>
            <w:gridSpan w:val="2"/>
          </w:tcPr>
          <w:p w14:paraId="6FEFB2FE" w14:textId="77777777" w:rsidR="003160D7" w:rsidRDefault="0054252B" w:rsidP="003160D7">
            <w:r>
              <w:t>Crews when being mobilised to emergency incidents went from alert to mobile in under 1.9 minutes on 9</w:t>
            </w:r>
            <w:r w:rsidR="00CB375D">
              <w:t>6.4</w:t>
            </w:r>
            <w:r>
              <w:t xml:space="preserve">% of incidents achieving the target 95%.   </w:t>
            </w:r>
          </w:p>
          <w:p w14:paraId="00BB3020" w14:textId="26002DF4" w:rsidR="00E063DA" w:rsidRDefault="00E063DA" w:rsidP="003160D7"/>
        </w:tc>
      </w:tr>
    </w:tbl>
    <w:p w14:paraId="1F720154" w14:textId="77777777" w:rsidR="003160D7" w:rsidRDefault="00E063DA"/>
    <w:p w14:paraId="73A9A65A" w14:textId="77777777" w:rsidR="003160D7" w:rsidRDefault="00E063DA"/>
    <w:p w14:paraId="4E5FC10B" w14:textId="77777777" w:rsidR="003160D7" w:rsidRDefault="00E063DA"/>
    <w:p w14:paraId="4A7DAC45" w14:textId="77777777" w:rsidR="003160D7" w:rsidRDefault="00E063DA"/>
    <w:p w14:paraId="5246B4C6" w14:textId="77777777" w:rsidR="003160D7" w:rsidRDefault="00E063DA"/>
    <w:p w14:paraId="7D91E45F" w14:textId="77777777" w:rsidR="003160D7" w:rsidRDefault="00E063DA"/>
    <w:p w14:paraId="60F3058C" w14:textId="77777777" w:rsidR="003160D7" w:rsidRDefault="00E063DA"/>
    <w:p w14:paraId="6628C192" w14:textId="77777777" w:rsidR="003160D7" w:rsidRDefault="00E063DA"/>
    <w:p w14:paraId="4496E597" w14:textId="77777777" w:rsidR="003160D7" w:rsidRDefault="00E063DA"/>
    <w:p w14:paraId="6BF2ACBE" w14:textId="77777777" w:rsidR="003160D7" w:rsidRDefault="00E063DA"/>
    <w:p w14:paraId="57D9DB86" w14:textId="77777777" w:rsidR="003160D7" w:rsidRDefault="00E063DA"/>
    <w:p w14:paraId="5BC79019" w14:textId="77777777" w:rsidR="003160D7" w:rsidRDefault="0054252B">
      <w:r>
        <w:br w:type="page"/>
      </w:r>
    </w:p>
    <w:tbl>
      <w:tblPr>
        <w:tblStyle w:val="TableGrid"/>
        <w:tblpPr w:leftFromText="180" w:rightFromText="180" w:vertAnchor="text" w:horzAnchor="margin" w:tblpY="-59"/>
        <w:tblOverlap w:val="never"/>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0036"/>
      </w:tblGrid>
      <w:tr w:rsidR="00C561B1" w14:paraId="19F5EE14" w14:textId="77777777" w:rsidTr="003160D7">
        <w:trPr>
          <w:trHeight w:val="23"/>
        </w:trPr>
        <w:tc>
          <w:tcPr>
            <w:tcW w:w="10036" w:type="dxa"/>
            <w:tcBorders>
              <w:top w:val="nil"/>
              <w:left w:val="nil"/>
              <w:bottom w:val="nil"/>
              <w:right w:val="nil"/>
            </w:tcBorders>
            <w:shd w:val="clear" w:color="auto" w:fill="FFFFFF" w:themeFill="background1"/>
          </w:tcPr>
          <w:tbl>
            <w:tblPr>
              <w:tblStyle w:val="TableGrid"/>
              <w:tblpPr w:leftFromText="180" w:rightFromText="180" w:vertAnchor="text" w:horzAnchor="margin" w:tblpY="-52"/>
              <w:tblOverlap w:val="never"/>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493"/>
              <w:gridCol w:w="474"/>
              <w:gridCol w:w="1427"/>
              <w:gridCol w:w="1408"/>
              <w:gridCol w:w="1467"/>
              <w:gridCol w:w="2502"/>
            </w:tblGrid>
            <w:tr w:rsidR="00C561B1" w14:paraId="4092E02F" w14:textId="77777777" w:rsidTr="003160D7">
              <w:tc>
                <w:tcPr>
                  <w:tcW w:w="9771" w:type="dxa"/>
                  <w:gridSpan w:val="6"/>
                  <w:shd w:val="clear" w:color="auto" w:fill="5B9BD5" w:themeFill="accent1"/>
                </w:tcPr>
                <w:p w14:paraId="11F008EB" w14:textId="77777777" w:rsidR="003160D7" w:rsidRPr="005F20DB" w:rsidRDefault="0054252B" w:rsidP="003160D7">
                  <w:pPr>
                    <w:rPr>
                      <w:b/>
                      <w:color w:val="FFFF00"/>
                      <w:sz w:val="28"/>
                      <w:szCs w:val="28"/>
                    </w:rPr>
                  </w:pPr>
                  <w:r w:rsidRPr="00681F4B">
                    <w:rPr>
                      <w:b/>
                      <w:color w:val="FFFFFF" w:themeColor="background1"/>
                      <w:sz w:val="28"/>
                      <w:szCs w:val="28"/>
                    </w:rPr>
                    <w:lastRenderedPageBreak/>
                    <w:t>TD</w:t>
                  </w:r>
                  <w:proofErr w:type="gramStart"/>
                  <w:r w:rsidRPr="00681F4B">
                    <w:rPr>
                      <w:b/>
                      <w:color w:val="FFFFFF" w:themeColor="background1"/>
                      <w:sz w:val="28"/>
                      <w:szCs w:val="28"/>
                    </w:rPr>
                    <w:t>09  The</w:t>
                  </w:r>
                  <w:proofErr w:type="gramEnd"/>
                  <w:r w:rsidRPr="00681F4B">
                    <w:rPr>
                      <w:b/>
                      <w:color w:val="FFFFFF" w:themeColor="background1"/>
                      <w:sz w:val="28"/>
                      <w:szCs w:val="28"/>
                    </w:rPr>
                    <w:t xml:space="preserve"> % of available shifts lost to sickness absence, all personnel</w:t>
                  </w:r>
                </w:p>
              </w:tc>
            </w:tr>
            <w:tr w:rsidR="00C561B1" w14:paraId="50A48AEE" w14:textId="77777777" w:rsidTr="001C5CFE">
              <w:trPr>
                <w:trHeight w:val="567"/>
              </w:trPr>
              <w:tc>
                <w:tcPr>
                  <w:tcW w:w="2493" w:type="dxa"/>
                  <w:shd w:val="clear" w:color="auto" w:fill="FFFF00"/>
                  <w:vAlign w:val="center"/>
                </w:tcPr>
                <w:p w14:paraId="5DAF497B" w14:textId="77777777" w:rsidR="003160D7" w:rsidRDefault="0054252B" w:rsidP="003160D7">
                  <w:pPr>
                    <w:jc w:val="center"/>
                  </w:pPr>
                  <w:r w:rsidRPr="00C63E5E">
                    <w:t>Service Plan Target</w:t>
                  </w:r>
                </w:p>
                <w:p w14:paraId="28A2EECB" w14:textId="630C995B" w:rsidR="003160D7" w:rsidRDefault="0054252B" w:rsidP="003160D7">
                  <w:pPr>
                    <w:jc w:val="center"/>
                  </w:pPr>
                  <w:r>
                    <w:t xml:space="preserve">Apr-June </w:t>
                  </w:r>
                  <w:r w:rsidR="00BD5E8A">
                    <w:t>2023</w:t>
                  </w:r>
                </w:p>
              </w:tc>
              <w:tc>
                <w:tcPr>
                  <w:tcW w:w="1901" w:type="dxa"/>
                  <w:gridSpan w:val="2"/>
                  <w:shd w:val="clear" w:color="auto" w:fill="D9E2F3" w:themeFill="accent5" w:themeFillTint="33"/>
                  <w:vAlign w:val="center"/>
                </w:tcPr>
                <w:p w14:paraId="0DAFA5EF" w14:textId="77777777" w:rsidR="003160D7" w:rsidRPr="00117961" w:rsidRDefault="0054252B" w:rsidP="003160D7">
                  <w:pPr>
                    <w:jc w:val="center"/>
                    <w:rPr>
                      <w:b/>
                    </w:rPr>
                  </w:pPr>
                  <w:r w:rsidRPr="00117961">
                    <w:rPr>
                      <w:b/>
                    </w:rPr>
                    <w:t>4%</w:t>
                  </w:r>
                </w:p>
              </w:tc>
              <w:tc>
                <w:tcPr>
                  <w:tcW w:w="2875" w:type="dxa"/>
                  <w:gridSpan w:val="2"/>
                  <w:shd w:val="clear" w:color="auto" w:fill="FFFF00"/>
                  <w:vAlign w:val="center"/>
                </w:tcPr>
                <w:p w14:paraId="267D808B" w14:textId="77777777" w:rsidR="003160D7" w:rsidRDefault="0054252B" w:rsidP="003160D7">
                  <w:pPr>
                    <w:jc w:val="center"/>
                  </w:pPr>
                  <w:r w:rsidRPr="00C63E5E">
                    <w:t>Progress to Date</w:t>
                  </w:r>
                </w:p>
              </w:tc>
              <w:tc>
                <w:tcPr>
                  <w:tcW w:w="2502" w:type="dxa"/>
                  <w:shd w:val="clear" w:color="auto" w:fill="FFC000"/>
                  <w:vAlign w:val="center"/>
                </w:tcPr>
                <w:p w14:paraId="37B9093F" w14:textId="25417353" w:rsidR="003160D7" w:rsidRPr="00CB375D" w:rsidRDefault="00AF288B" w:rsidP="00CB375D">
                  <w:pPr>
                    <w:jc w:val="center"/>
                    <w:rPr>
                      <w:bCs/>
                      <w:color w:val="000000" w:themeColor="text1"/>
                    </w:rPr>
                  </w:pPr>
                  <w:r>
                    <w:rPr>
                      <w:b/>
                      <w:color w:val="000000" w:themeColor="text1"/>
                    </w:rPr>
                    <w:t>4.11</w:t>
                  </w:r>
                  <w:r w:rsidR="0054252B" w:rsidRPr="001C5CFE">
                    <w:rPr>
                      <w:b/>
                      <w:color w:val="000000" w:themeColor="text1"/>
                    </w:rPr>
                    <w:t>%</w:t>
                  </w:r>
                </w:p>
              </w:tc>
            </w:tr>
            <w:tr w:rsidR="00C561B1" w14:paraId="71513EE8" w14:textId="77777777" w:rsidTr="001C2EFA">
              <w:tc>
                <w:tcPr>
                  <w:tcW w:w="9771" w:type="dxa"/>
                  <w:gridSpan w:val="6"/>
                </w:tcPr>
                <w:p w14:paraId="5372AC85" w14:textId="650C6A33" w:rsidR="003160D7" w:rsidRDefault="001C2EFA" w:rsidP="001A63FE">
                  <w:pPr>
                    <w:jc w:val="center"/>
                    <w:rPr>
                      <w:noProof/>
                      <w:lang w:eastAsia="en-GB"/>
                    </w:rPr>
                  </w:pPr>
                  <w:r>
                    <w:rPr>
                      <w:noProof/>
                    </w:rPr>
                    <w:drawing>
                      <wp:inline distT="0" distB="0" distL="0" distR="0" wp14:anchorId="28530666" wp14:editId="14294D60">
                        <wp:extent cx="5772150" cy="2660400"/>
                        <wp:effectExtent l="0" t="0" r="0" b="6985"/>
                        <wp:docPr id="21" name="Chart 21">
                          <a:extLst xmlns:a="http://schemas.openxmlformats.org/drawingml/2006/main">
                            <a:ext uri="{FF2B5EF4-FFF2-40B4-BE49-F238E27FC236}">
                              <a16:creationId xmlns:a16="http://schemas.microsoft.com/office/drawing/2014/main" id="{00000000-0008-0000-06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C561B1" w14:paraId="488BA3EF" w14:textId="77777777" w:rsidTr="003160D7">
              <w:tc>
                <w:tcPr>
                  <w:tcW w:w="9771" w:type="dxa"/>
                  <w:gridSpan w:val="6"/>
                  <w:shd w:val="clear" w:color="auto" w:fill="5B9BD5" w:themeFill="accent1"/>
                </w:tcPr>
                <w:p w14:paraId="54E74D41" w14:textId="77777777" w:rsidR="003160D7" w:rsidRPr="005359B6" w:rsidRDefault="0054252B" w:rsidP="003160D7">
                  <w:pPr>
                    <w:jc w:val="center"/>
                    <w:rPr>
                      <w:b/>
                      <w:color w:val="FFFFFF" w:themeColor="background1"/>
                    </w:rPr>
                  </w:pPr>
                  <w:r w:rsidRPr="00093823">
                    <w:rPr>
                      <w:b/>
                      <w:color w:val="FFFFFF" w:themeColor="background1"/>
                      <w:sz w:val="24"/>
                    </w:rPr>
                    <w:t>COMMENTARY:</w:t>
                  </w:r>
                </w:p>
              </w:tc>
            </w:tr>
            <w:tr w:rsidR="00C561B1" w14:paraId="22DF2296" w14:textId="77777777" w:rsidTr="001C5CFE">
              <w:trPr>
                <w:trHeight w:val="284"/>
              </w:trPr>
              <w:tc>
                <w:tcPr>
                  <w:tcW w:w="5802" w:type="dxa"/>
                  <w:gridSpan w:val="4"/>
                  <w:shd w:val="clear" w:color="auto" w:fill="auto"/>
                </w:tcPr>
                <w:p w14:paraId="301CE230" w14:textId="77777777" w:rsidR="003160D7" w:rsidRPr="005359B6" w:rsidRDefault="0054252B" w:rsidP="003160D7">
                  <w:pPr>
                    <w:rPr>
                      <w:b/>
                      <w:color w:val="FFFFFF" w:themeColor="background1"/>
                    </w:rPr>
                  </w:pPr>
                  <w:r w:rsidRPr="00681F4B">
                    <w:rPr>
                      <w:b/>
                      <w:szCs w:val="24"/>
                    </w:rPr>
                    <w:t>TD09 The % of available shifts lost to sickness absence, all personnel</w:t>
                  </w:r>
                </w:p>
              </w:tc>
              <w:tc>
                <w:tcPr>
                  <w:tcW w:w="3969" w:type="dxa"/>
                  <w:gridSpan w:val="2"/>
                  <w:shd w:val="clear" w:color="auto" w:fill="FFC000"/>
                </w:tcPr>
                <w:p w14:paraId="5F1E2786" w14:textId="77777777" w:rsidR="003160D7" w:rsidRPr="005359B6" w:rsidRDefault="00E063DA" w:rsidP="003160D7">
                  <w:pPr>
                    <w:rPr>
                      <w:b/>
                      <w:color w:val="FFFFFF" w:themeColor="background1"/>
                    </w:rPr>
                  </w:pPr>
                </w:p>
              </w:tc>
            </w:tr>
            <w:tr w:rsidR="00C561B1" w14:paraId="24298BBC" w14:textId="77777777" w:rsidTr="003160D7">
              <w:trPr>
                <w:trHeight w:val="284"/>
              </w:trPr>
              <w:tc>
                <w:tcPr>
                  <w:tcW w:w="5802" w:type="dxa"/>
                  <w:gridSpan w:val="4"/>
                  <w:shd w:val="clear" w:color="auto" w:fill="auto"/>
                </w:tcPr>
                <w:p w14:paraId="653EA556" w14:textId="77777777" w:rsidR="003160D7" w:rsidRPr="005359B6" w:rsidRDefault="0054252B" w:rsidP="003160D7">
                  <w:pPr>
                    <w:rPr>
                      <w:b/>
                      <w:color w:val="FFFFFF" w:themeColor="background1"/>
                    </w:rPr>
                  </w:pPr>
                  <w:r w:rsidRPr="00681F4B">
                    <w:rPr>
                      <w:b/>
                      <w:szCs w:val="24"/>
                    </w:rPr>
                    <w:t>WD11 The % of available shifts lost to sickness absence per wholetime equivalent GREY book (operational) personnel</w:t>
                  </w:r>
                </w:p>
              </w:tc>
              <w:tc>
                <w:tcPr>
                  <w:tcW w:w="3969" w:type="dxa"/>
                  <w:gridSpan w:val="2"/>
                  <w:shd w:val="clear" w:color="auto" w:fill="FF0000"/>
                </w:tcPr>
                <w:p w14:paraId="2F59D412" w14:textId="77777777" w:rsidR="003160D7" w:rsidRPr="005359B6" w:rsidRDefault="00E063DA" w:rsidP="003160D7">
                  <w:pPr>
                    <w:rPr>
                      <w:b/>
                      <w:color w:val="FFFFFF" w:themeColor="background1"/>
                    </w:rPr>
                  </w:pPr>
                </w:p>
              </w:tc>
            </w:tr>
            <w:tr w:rsidR="00C561B1" w14:paraId="434068EC" w14:textId="77777777" w:rsidTr="001C5CFE">
              <w:trPr>
                <w:trHeight w:val="284"/>
              </w:trPr>
              <w:tc>
                <w:tcPr>
                  <w:tcW w:w="5802" w:type="dxa"/>
                  <w:gridSpan w:val="4"/>
                  <w:shd w:val="clear" w:color="auto" w:fill="auto"/>
                </w:tcPr>
                <w:p w14:paraId="68E272ED" w14:textId="77777777" w:rsidR="003160D7" w:rsidRPr="005359B6" w:rsidRDefault="0054252B" w:rsidP="003160D7">
                  <w:pPr>
                    <w:rPr>
                      <w:b/>
                      <w:color w:val="FFFFFF" w:themeColor="background1"/>
                    </w:rPr>
                  </w:pPr>
                  <w:r w:rsidRPr="00681F4B">
                    <w:rPr>
                      <w:b/>
                      <w:szCs w:val="24"/>
                    </w:rPr>
                    <w:t>WD12 The % of available shifts lost to sickness absence per wholetime equivalent GREEN &amp; RED book (</w:t>
                  </w:r>
                  <w:proofErr w:type="spellStart"/>
                  <w:r w:rsidRPr="00681F4B">
                    <w:rPr>
                      <w:b/>
                      <w:szCs w:val="24"/>
                    </w:rPr>
                    <w:t>non uniformed</w:t>
                  </w:r>
                  <w:proofErr w:type="spellEnd"/>
                  <w:r w:rsidRPr="00681F4B">
                    <w:rPr>
                      <w:b/>
                      <w:szCs w:val="24"/>
                    </w:rPr>
                    <w:t>) personnel</w:t>
                  </w:r>
                </w:p>
              </w:tc>
              <w:tc>
                <w:tcPr>
                  <w:tcW w:w="3969" w:type="dxa"/>
                  <w:gridSpan w:val="2"/>
                  <w:shd w:val="clear" w:color="auto" w:fill="00B050"/>
                </w:tcPr>
                <w:p w14:paraId="525FE0D0" w14:textId="77777777" w:rsidR="003160D7" w:rsidRPr="005359B6" w:rsidRDefault="00E063DA" w:rsidP="003160D7">
                  <w:pPr>
                    <w:rPr>
                      <w:b/>
                      <w:color w:val="FFFFFF" w:themeColor="background1"/>
                    </w:rPr>
                  </w:pPr>
                </w:p>
              </w:tc>
            </w:tr>
            <w:tr w:rsidR="00C561B1" w14:paraId="788F6824" w14:textId="77777777" w:rsidTr="003160D7">
              <w:trPr>
                <w:trHeight w:val="276"/>
              </w:trPr>
              <w:tc>
                <w:tcPr>
                  <w:tcW w:w="2967" w:type="dxa"/>
                  <w:gridSpan w:val="2"/>
                  <w:shd w:val="clear" w:color="auto" w:fill="auto"/>
                </w:tcPr>
                <w:p w14:paraId="19060C04" w14:textId="77777777" w:rsidR="003160D7" w:rsidRPr="005359B6" w:rsidRDefault="0054252B" w:rsidP="003160D7">
                  <w:pPr>
                    <w:rPr>
                      <w:b/>
                      <w:color w:val="FFFFFF" w:themeColor="background1"/>
                    </w:rPr>
                  </w:pPr>
                  <w:r>
                    <w:rPr>
                      <w:b/>
                    </w:rPr>
                    <w:t>TD09</w:t>
                  </w:r>
                </w:p>
              </w:tc>
              <w:tc>
                <w:tcPr>
                  <w:tcW w:w="6804" w:type="dxa"/>
                  <w:gridSpan w:val="4"/>
                  <w:shd w:val="clear" w:color="auto" w:fill="auto"/>
                </w:tcPr>
                <w:p w14:paraId="37A8D7A7" w14:textId="77777777" w:rsidR="003160D7" w:rsidRDefault="0054252B" w:rsidP="001C5CFE">
                  <w:r w:rsidRPr="004F73E9">
                    <w:t xml:space="preserve">Overall sickness among all staff </w:t>
                  </w:r>
                  <w:r w:rsidRPr="00AF288B">
                    <w:t>at 4.</w:t>
                  </w:r>
                  <w:r w:rsidR="00AF288B" w:rsidRPr="00AF288B">
                    <w:t>11</w:t>
                  </w:r>
                  <w:r w:rsidRPr="00AF288B">
                    <w:t>%</w:t>
                  </w:r>
                  <w:r w:rsidRPr="004F73E9">
                    <w:t xml:space="preserve"> shifts lost to sickness absence exceeds th</w:t>
                  </w:r>
                  <w:r>
                    <w:t xml:space="preserve">e 4% target and </w:t>
                  </w:r>
                  <w:r w:rsidR="00AF288B">
                    <w:t xml:space="preserve">but is less than </w:t>
                  </w:r>
                  <w:r>
                    <w:t>performance at quarter 1 202</w:t>
                  </w:r>
                  <w:r w:rsidR="008677BE">
                    <w:t>2</w:t>
                  </w:r>
                  <w:r>
                    <w:t xml:space="preserve"> </w:t>
                  </w:r>
                  <w:r w:rsidR="00FA75CC">
                    <w:t>when absence was</w:t>
                  </w:r>
                  <w:r>
                    <w:t xml:space="preserve"> </w:t>
                  </w:r>
                  <w:r w:rsidR="008677BE">
                    <w:t>4.37</w:t>
                  </w:r>
                  <w:r>
                    <w:t>%.</w:t>
                  </w:r>
                </w:p>
                <w:p w14:paraId="1807A69C" w14:textId="59B2B3CE" w:rsidR="00E063DA" w:rsidRPr="004F73E9" w:rsidRDefault="00E063DA" w:rsidP="001C5CFE">
                  <w:pPr>
                    <w:rPr>
                      <w:b/>
                      <w:color w:val="FFFFFF" w:themeColor="background1"/>
                    </w:rPr>
                  </w:pPr>
                </w:p>
              </w:tc>
            </w:tr>
            <w:tr w:rsidR="00C561B1" w14:paraId="488F432E" w14:textId="77777777" w:rsidTr="003160D7">
              <w:trPr>
                <w:trHeight w:val="276"/>
              </w:trPr>
              <w:tc>
                <w:tcPr>
                  <w:tcW w:w="2967" w:type="dxa"/>
                  <w:gridSpan w:val="2"/>
                  <w:shd w:val="clear" w:color="auto" w:fill="auto"/>
                </w:tcPr>
                <w:p w14:paraId="309B1322" w14:textId="77777777" w:rsidR="003160D7" w:rsidRDefault="0054252B" w:rsidP="003160D7">
                  <w:pPr>
                    <w:rPr>
                      <w:b/>
                    </w:rPr>
                  </w:pPr>
                  <w:r>
                    <w:rPr>
                      <w:b/>
                    </w:rPr>
                    <w:t>WD11</w:t>
                  </w:r>
                </w:p>
                <w:p w14:paraId="4839C21D" w14:textId="77777777" w:rsidR="003160D7" w:rsidRPr="005359B6" w:rsidRDefault="0054252B" w:rsidP="003160D7">
                  <w:pPr>
                    <w:rPr>
                      <w:b/>
                      <w:color w:val="FFFFFF" w:themeColor="background1"/>
                    </w:rPr>
                  </w:pPr>
                  <w:r>
                    <w:rPr>
                      <w:b/>
                    </w:rPr>
                    <w:t>WD12</w:t>
                  </w:r>
                </w:p>
              </w:tc>
              <w:tc>
                <w:tcPr>
                  <w:tcW w:w="6804" w:type="dxa"/>
                  <w:gridSpan w:val="4"/>
                  <w:shd w:val="clear" w:color="auto" w:fill="auto"/>
                </w:tcPr>
                <w:p w14:paraId="6AD8A64D" w14:textId="47E1E468" w:rsidR="003160D7" w:rsidRDefault="0054252B" w:rsidP="003160D7">
                  <w:r>
                    <w:t xml:space="preserve">Cumulatively </w:t>
                  </w:r>
                  <w:r w:rsidR="008677BE">
                    <w:t>4.46</w:t>
                  </w:r>
                  <w:r w:rsidRPr="004F73E9">
                    <w:t xml:space="preserve">% of shifts were lost to sickness absence among uniformed staff. </w:t>
                  </w:r>
                  <w:r>
                    <w:t xml:space="preserve">This is </w:t>
                  </w:r>
                  <w:r w:rsidR="008677BE">
                    <w:t>lower</w:t>
                  </w:r>
                  <w:r>
                    <w:t xml:space="preserve"> than at the end of quarter 1 </w:t>
                  </w:r>
                  <w:r w:rsidR="008677BE">
                    <w:t xml:space="preserve">22 </w:t>
                  </w:r>
                  <w:r>
                    <w:t xml:space="preserve">when grey book absence was </w:t>
                  </w:r>
                  <w:r w:rsidR="008677BE">
                    <w:t>5.28</w:t>
                  </w:r>
                  <w:r>
                    <w:t>%.</w:t>
                  </w:r>
                </w:p>
                <w:p w14:paraId="40045168" w14:textId="77777777" w:rsidR="00FA75CC" w:rsidRPr="004F73E9" w:rsidRDefault="00FA75CC" w:rsidP="003160D7"/>
                <w:p w14:paraId="10572399" w14:textId="77777777" w:rsidR="003160D7" w:rsidRDefault="0054252B" w:rsidP="003160D7">
                  <w:r w:rsidRPr="004F73E9">
                    <w:t>No</w:t>
                  </w:r>
                  <w:r>
                    <w:t xml:space="preserve">n-uniformed staff absence in quarter 1 was </w:t>
                  </w:r>
                  <w:r w:rsidR="008677BE">
                    <w:t>3.56</w:t>
                  </w:r>
                  <w:r w:rsidRPr="004F73E9">
                    <w:t>%.  Th</w:t>
                  </w:r>
                  <w:r>
                    <w:t xml:space="preserve">is </w:t>
                  </w:r>
                  <w:r w:rsidR="008677BE">
                    <w:t xml:space="preserve">is </w:t>
                  </w:r>
                  <w:proofErr w:type="gramStart"/>
                  <w:r w:rsidR="008677BE">
                    <w:t>actually higher</w:t>
                  </w:r>
                  <w:proofErr w:type="gramEnd"/>
                  <w:r w:rsidR="008677BE">
                    <w:t xml:space="preserve"> than at Q1 2022</w:t>
                  </w:r>
                  <w:r>
                    <w:t xml:space="preserve"> when </w:t>
                  </w:r>
                  <w:r w:rsidR="008E18C3">
                    <w:t>2.98</w:t>
                  </w:r>
                  <w:r>
                    <w:t>% of available shifts were lost to sickness absence</w:t>
                  </w:r>
                  <w:r w:rsidR="008E18C3">
                    <w:t xml:space="preserve"> despite Covid still having an impact last year.</w:t>
                  </w:r>
                </w:p>
                <w:p w14:paraId="1470DB06" w14:textId="00B3E4A4" w:rsidR="00FA75CC" w:rsidRPr="004F73E9" w:rsidRDefault="00FA75CC" w:rsidP="003160D7">
                  <w:pPr>
                    <w:rPr>
                      <w:b/>
                      <w:color w:val="FFFFFF" w:themeColor="background1"/>
                    </w:rPr>
                  </w:pPr>
                </w:p>
              </w:tc>
            </w:tr>
          </w:tbl>
          <w:p w14:paraId="3B1118EC" w14:textId="77777777" w:rsidR="003160D7" w:rsidRDefault="00E063DA" w:rsidP="003160D7">
            <w:pPr>
              <w:rPr>
                <w:b/>
                <w:color w:val="FFFFFF" w:themeColor="background1"/>
                <w:sz w:val="28"/>
                <w:szCs w:val="28"/>
              </w:rPr>
            </w:pPr>
          </w:p>
        </w:tc>
      </w:tr>
      <w:tr w:rsidR="00C561B1" w14:paraId="49F9E87A" w14:textId="77777777" w:rsidTr="003160D7">
        <w:trPr>
          <w:trHeight w:val="23"/>
        </w:trPr>
        <w:tc>
          <w:tcPr>
            <w:tcW w:w="10036" w:type="dxa"/>
            <w:tcBorders>
              <w:top w:val="nil"/>
              <w:left w:val="nil"/>
              <w:bottom w:val="nil"/>
              <w:right w:val="nil"/>
            </w:tcBorders>
            <w:shd w:val="clear" w:color="auto" w:fill="FFFFFF" w:themeFill="background1"/>
          </w:tcPr>
          <w:p w14:paraId="0ABB2EAA" w14:textId="77777777" w:rsidR="003160D7" w:rsidRDefault="00E063DA" w:rsidP="003160D7">
            <w:pPr>
              <w:rPr>
                <w:b/>
                <w:color w:val="FFFFFF" w:themeColor="background1"/>
                <w:sz w:val="28"/>
                <w:szCs w:val="28"/>
              </w:rPr>
            </w:pPr>
          </w:p>
        </w:tc>
      </w:tr>
    </w:tbl>
    <w:p w14:paraId="13587D6B" w14:textId="77777777" w:rsidR="003160D7" w:rsidRDefault="00E063DA"/>
    <w:p w14:paraId="44D03754" w14:textId="77777777" w:rsidR="003160D7" w:rsidRDefault="0054252B">
      <w:r>
        <w:br w:type="page"/>
      </w:r>
    </w:p>
    <w:tbl>
      <w:tblPr>
        <w:tblStyle w:val="TableGrid"/>
        <w:tblW w:w="10976" w:type="dxa"/>
        <w:tblInd w:w="78"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10976"/>
      </w:tblGrid>
      <w:tr w:rsidR="00C561B1" w14:paraId="45740D2B" w14:textId="77777777" w:rsidTr="003160D7">
        <w:trPr>
          <w:trHeight w:val="23"/>
        </w:trPr>
        <w:tc>
          <w:tcPr>
            <w:tcW w:w="10976" w:type="dxa"/>
            <w:tcBorders>
              <w:top w:val="nil"/>
              <w:left w:val="nil"/>
              <w:bottom w:val="nil"/>
              <w:right w:val="nil"/>
            </w:tcBorders>
            <w:shd w:val="clear" w:color="auto" w:fill="FFFFFF" w:themeFill="background1"/>
          </w:tcPr>
          <w:p w14:paraId="02E779F8" w14:textId="77777777" w:rsidR="003160D7" w:rsidRDefault="00E063DA" w:rsidP="003160D7">
            <w:pPr>
              <w:rPr>
                <w:b/>
                <w:color w:val="FFFFFF" w:themeColor="background1"/>
                <w:sz w:val="24"/>
                <w:szCs w:val="24"/>
              </w:rPr>
            </w:pPr>
          </w:p>
          <w:p w14:paraId="053EDA84" w14:textId="77777777" w:rsidR="003160D7" w:rsidRDefault="00E063DA" w:rsidP="003160D7">
            <w:pPr>
              <w:rPr>
                <w:b/>
                <w:color w:val="FFFFFF" w:themeColor="background1"/>
                <w:sz w:val="24"/>
                <w:szCs w:val="24"/>
              </w:rPr>
            </w:pPr>
          </w:p>
          <w:tbl>
            <w:tblPr>
              <w:tblStyle w:val="TableGrid"/>
              <w:tblpPr w:leftFromText="180" w:rightFromText="180" w:vertAnchor="text" w:horzAnchor="margin" w:tblpY="-171"/>
              <w:tblOverlap w:val="never"/>
              <w:tblW w:w="0" w:type="auto"/>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firstRow="1" w:lastRow="0" w:firstColumn="1" w:lastColumn="0" w:noHBand="0" w:noVBand="1"/>
            </w:tblPr>
            <w:tblGrid>
              <w:gridCol w:w="9453"/>
            </w:tblGrid>
            <w:tr w:rsidR="00C561B1" w14:paraId="297EDF3B" w14:textId="77777777" w:rsidTr="003160D7">
              <w:trPr>
                <w:trHeight w:val="23"/>
              </w:trPr>
              <w:tc>
                <w:tcPr>
                  <w:tcW w:w="9410" w:type="dxa"/>
                  <w:tcBorders>
                    <w:top w:val="nil"/>
                    <w:left w:val="nil"/>
                    <w:bottom w:val="nil"/>
                    <w:right w:val="nil"/>
                  </w:tcBorders>
                  <w:shd w:val="clear" w:color="auto" w:fill="FFFFFF" w:themeFill="background1"/>
                </w:tcPr>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Look w:val="04A0" w:firstRow="1" w:lastRow="0" w:firstColumn="1" w:lastColumn="0" w:noHBand="0" w:noVBand="1"/>
                  </w:tblPr>
                  <w:tblGrid>
                    <w:gridCol w:w="2821"/>
                    <w:gridCol w:w="444"/>
                    <w:gridCol w:w="1282"/>
                    <w:gridCol w:w="504"/>
                    <w:gridCol w:w="2384"/>
                    <w:gridCol w:w="1782"/>
                  </w:tblGrid>
                  <w:tr w:rsidR="00C561B1" w14:paraId="73B39AE8" w14:textId="77777777" w:rsidTr="00014E79">
                    <w:tc>
                      <w:tcPr>
                        <w:tcW w:w="9174" w:type="dxa"/>
                        <w:gridSpan w:val="6"/>
                        <w:shd w:val="clear" w:color="auto" w:fill="5B9BD5" w:themeFill="accent1"/>
                      </w:tcPr>
                      <w:p w14:paraId="5751AF01" w14:textId="77777777" w:rsidR="003160D7" w:rsidRPr="005F20DB" w:rsidRDefault="0054252B" w:rsidP="003160D7">
                        <w:pPr>
                          <w:rPr>
                            <w:b/>
                            <w:color w:val="FFFFFF" w:themeColor="background1"/>
                            <w:sz w:val="28"/>
                            <w:szCs w:val="28"/>
                          </w:rPr>
                        </w:pPr>
                        <w:r w:rsidRPr="00681F4B">
                          <w:rPr>
                            <w:b/>
                            <w:color w:val="FFFFFF" w:themeColor="background1"/>
                            <w:sz w:val="28"/>
                            <w:szCs w:val="28"/>
                          </w:rPr>
                          <w:t>TE</w:t>
                        </w:r>
                        <w:proofErr w:type="gramStart"/>
                        <w:r w:rsidRPr="00681F4B">
                          <w:rPr>
                            <w:b/>
                            <w:color w:val="FFFFFF" w:themeColor="background1"/>
                            <w:sz w:val="28"/>
                            <w:szCs w:val="28"/>
                          </w:rPr>
                          <w:t>10  Total</w:t>
                        </w:r>
                        <w:proofErr w:type="gramEnd"/>
                        <w:r w:rsidRPr="00681F4B">
                          <w:rPr>
                            <w:b/>
                            <w:color w:val="FFFFFF" w:themeColor="background1"/>
                            <w:sz w:val="28"/>
                            <w:szCs w:val="28"/>
                          </w:rPr>
                          <w:t xml:space="preserve"> carbon output of all buildings</w:t>
                        </w:r>
                      </w:p>
                    </w:tc>
                  </w:tr>
                  <w:tr w:rsidR="00C561B1" w14:paraId="0B6BEA09" w14:textId="77777777" w:rsidTr="00014E79">
                    <w:tc>
                      <w:tcPr>
                        <w:tcW w:w="2837" w:type="dxa"/>
                        <w:shd w:val="clear" w:color="auto" w:fill="FFFF00"/>
                        <w:vAlign w:val="center"/>
                      </w:tcPr>
                      <w:p w14:paraId="4C4ABA3B" w14:textId="77777777" w:rsidR="003160D7" w:rsidRDefault="0054252B" w:rsidP="003160D7">
                        <w:pPr>
                          <w:jc w:val="center"/>
                        </w:pPr>
                        <w:r w:rsidRPr="00C63E5E">
                          <w:t>Service Plan Target</w:t>
                        </w:r>
                      </w:p>
                      <w:p w14:paraId="69D73E53" w14:textId="63ECBC8A" w:rsidR="003160D7" w:rsidRDefault="0054252B" w:rsidP="003160D7">
                        <w:pPr>
                          <w:jc w:val="center"/>
                        </w:pPr>
                        <w:r>
                          <w:t xml:space="preserve">Apr-June </w:t>
                        </w:r>
                        <w:r w:rsidR="00BD5E8A">
                          <w:t>2023</w:t>
                        </w:r>
                      </w:p>
                    </w:tc>
                    <w:tc>
                      <w:tcPr>
                        <w:tcW w:w="1818" w:type="dxa"/>
                        <w:gridSpan w:val="2"/>
                        <w:shd w:val="clear" w:color="auto" w:fill="D9E2F3" w:themeFill="accent5" w:themeFillTint="33"/>
                        <w:vAlign w:val="center"/>
                      </w:tcPr>
                      <w:p w14:paraId="017EEEA4" w14:textId="77777777" w:rsidR="003160D7" w:rsidRPr="00117961" w:rsidRDefault="0054252B" w:rsidP="003160D7">
                        <w:pPr>
                          <w:jc w:val="center"/>
                          <w:rPr>
                            <w:b/>
                          </w:rPr>
                        </w:pPr>
                        <w:r>
                          <w:rPr>
                            <w:b/>
                          </w:rPr>
                          <w:t>65</w:t>
                        </w:r>
                      </w:p>
                    </w:tc>
                    <w:tc>
                      <w:tcPr>
                        <w:tcW w:w="2796" w:type="dxa"/>
                        <w:gridSpan w:val="2"/>
                        <w:shd w:val="clear" w:color="auto" w:fill="FFFF00"/>
                        <w:vAlign w:val="center"/>
                      </w:tcPr>
                      <w:p w14:paraId="7D95C00C" w14:textId="77777777" w:rsidR="003160D7" w:rsidRDefault="0054252B" w:rsidP="003160D7">
                        <w:pPr>
                          <w:jc w:val="center"/>
                        </w:pPr>
                        <w:r w:rsidRPr="00C63E5E">
                          <w:t>Progress to Date</w:t>
                        </w:r>
                      </w:p>
                    </w:tc>
                    <w:tc>
                      <w:tcPr>
                        <w:tcW w:w="1723" w:type="dxa"/>
                        <w:shd w:val="clear" w:color="auto" w:fill="00B050"/>
                        <w:vAlign w:val="center"/>
                      </w:tcPr>
                      <w:p w14:paraId="74F58E95" w14:textId="77777777" w:rsidR="003160D7" w:rsidRPr="008B1461" w:rsidRDefault="0054252B" w:rsidP="003160D7">
                        <w:pPr>
                          <w:jc w:val="center"/>
                          <w:rPr>
                            <w:b/>
                            <w:color w:val="FFFF00"/>
                          </w:rPr>
                        </w:pPr>
                        <w:r>
                          <w:rPr>
                            <w:b/>
                            <w:color w:val="FFFFFF" w:themeColor="background1"/>
                          </w:rPr>
                          <w:t>55.6</w:t>
                        </w:r>
                      </w:p>
                    </w:tc>
                  </w:tr>
                  <w:tr w:rsidR="00C561B1" w14:paraId="3EE482EC" w14:textId="77777777" w:rsidTr="00345621">
                    <w:tc>
                      <w:tcPr>
                        <w:tcW w:w="9174" w:type="dxa"/>
                        <w:gridSpan w:val="6"/>
                      </w:tcPr>
                      <w:p w14:paraId="45FE1125" w14:textId="5B31F3C2" w:rsidR="003160D7" w:rsidRDefault="00345621" w:rsidP="003160D7">
                        <w:pPr>
                          <w:rPr>
                            <w:noProof/>
                            <w:lang w:eastAsia="en-GB"/>
                          </w:rPr>
                        </w:pPr>
                        <w:r>
                          <w:rPr>
                            <w:noProof/>
                          </w:rPr>
                          <w:drawing>
                            <wp:inline distT="0" distB="0" distL="0" distR="0" wp14:anchorId="266138B6" wp14:editId="7F46AF3D">
                              <wp:extent cx="5715000" cy="2660015"/>
                              <wp:effectExtent l="0" t="0" r="0" b="6985"/>
                              <wp:docPr id="22" name="Chart 22">
                                <a:extLst xmlns:a="http://schemas.openxmlformats.org/drawingml/2006/main">
                                  <a:ext uri="{FF2B5EF4-FFF2-40B4-BE49-F238E27FC236}">
                                    <a16:creationId xmlns:a16="http://schemas.microsoft.com/office/drawing/2014/main" id="{00000000-0008-0000-06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C561B1" w14:paraId="4DFE3CD6" w14:textId="77777777" w:rsidTr="00014E79">
                    <w:trPr>
                      <w:trHeight w:val="567"/>
                    </w:trPr>
                    <w:tc>
                      <w:tcPr>
                        <w:tcW w:w="5092" w:type="dxa"/>
                        <w:gridSpan w:val="4"/>
                      </w:tcPr>
                      <w:p w14:paraId="5F7F6057" w14:textId="77777777" w:rsidR="003160D7" w:rsidRPr="00E56421" w:rsidRDefault="0054252B" w:rsidP="003160D7">
                        <w:pPr>
                          <w:rPr>
                            <w:b/>
                          </w:rPr>
                        </w:pPr>
                        <w:r>
                          <w:rPr>
                            <w:b/>
                          </w:rPr>
                          <w:t>TE10 Total carbon output of all buildings</w:t>
                        </w:r>
                      </w:p>
                    </w:tc>
                    <w:tc>
                      <w:tcPr>
                        <w:tcW w:w="4082" w:type="dxa"/>
                        <w:gridSpan w:val="2"/>
                        <w:shd w:val="clear" w:color="auto" w:fill="00B050"/>
                      </w:tcPr>
                      <w:p w14:paraId="349FC3D2" w14:textId="77777777" w:rsidR="003160D7" w:rsidRDefault="00E063DA" w:rsidP="003160D7"/>
                      <w:p w14:paraId="70281D70" w14:textId="77777777" w:rsidR="003160D7" w:rsidRDefault="00E063DA" w:rsidP="003160D7"/>
                    </w:tc>
                  </w:tr>
                  <w:tr w:rsidR="00C561B1" w14:paraId="6E741F8E" w14:textId="77777777" w:rsidTr="00014E79">
                    <w:tc>
                      <w:tcPr>
                        <w:tcW w:w="3270" w:type="dxa"/>
                        <w:gridSpan w:val="2"/>
                      </w:tcPr>
                      <w:p w14:paraId="2D70ADFE" w14:textId="77777777" w:rsidR="003160D7" w:rsidRDefault="00E063DA" w:rsidP="003160D7"/>
                      <w:p w14:paraId="56CFB15A" w14:textId="77777777" w:rsidR="003160D7" w:rsidRPr="00417D19" w:rsidRDefault="0054252B" w:rsidP="003160D7">
                        <w:pPr>
                          <w:rPr>
                            <w:b/>
                          </w:rPr>
                        </w:pPr>
                        <w:r w:rsidRPr="00417D19">
                          <w:rPr>
                            <w:b/>
                          </w:rPr>
                          <w:t>TE10</w:t>
                        </w:r>
                      </w:p>
                    </w:tc>
                    <w:tc>
                      <w:tcPr>
                        <w:tcW w:w="5904" w:type="dxa"/>
                        <w:gridSpan w:val="4"/>
                      </w:tcPr>
                      <w:p w14:paraId="78D3BFDB" w14:textId="5BDB0F37" w:rsidR="003160D7" w:rsidRDefault="0054252B" w:rsidP="00D90A35">
                        <w:r>
                          <w:t>Carbon output from all buildings</w:t>
                        </w:r>
                        <w:r w:rsidR="00345621">
                          <w:t xml:space="preserve"> (11.1)</w:t>
                        </w:r>
                        <w:r>
                          <w:t xml:space="preserve"> is slightly lower than Q1 202</w:t>
                        </w:r>
                        <w:r w:rsidR="00345621">
                          <w:t>2</w:t>
                        </w:r>
                        <w:r>
                          <w:t>/2</w:t>
                        </w:r>
                        <w:r w:rsidR="00345621">
                          <w:t>3</w:t>
                        </w:r>
                        <w:r>
                          <w:t xml:space="preserve"> (1</w:t>
                        </w:r>
                        <w:r w:rsidR="00345621">
                          <w:t>1</w:t>
                        </w:r>
                        <w:r>
                          <w:t>.</w:t>
                        </w:r>
                        <w:r w:rsidR="00345621">
                          <w:t>7</w:t>
                        </w:r>
                        <w:r>
                          <w:t xml:space="preserve">) and below the target of 13.9.  This measurement is based on tonnage of CO2# for the MFRS estate.    </w:t>
                        </w:r>
                      </w:p>
                    </w:tc>
                  </w:tr>
                </w:tbl>
                <w:p w14:paraId="77EB731C" w14:textId="77777777" w:rsidR="003160D7" w:rsidRDefault="00E063DA" w:rsidP="003160D7">
                  <w:pPr>
                    <w:rPr>
                      <w:b/>
                      <w:color w:val="FFFFFF" w:themeColor="background1"/>
                      <w:sz w:val="24"/>
                      <w:szCs w:val="24"/>
                    </w:rPr>
                  </w:pPr>
                </w:p>
                <w:p w14:paraId="1EABE200" w14:textId="77777777" w:rsidR="003160D7" w:rsidRDefault="00E063DA" w:rsidP="003160D7">
                  <w:pPr>
                    <w:rPr>
                      <w:b/>
                      <w:color w:val="FFFFFF" w:themeColor="background1"/>
                      <w:sz w:val="24"/>
                      <w:szCs w:val="24"/>
                    </w:rPr>
                  </w:pPr>
                </w:p>
                <w:p w14:paraId="4309D1F9" w14:textId="77777777" w:rsidR="003160D7" w:rsidRDefault="00E063DA" w:rsidP="003160D7">
                  <w:pPr>
                    <w:rPr>
                      <w:b/>
                      <w:color w:val="FFFFFF" w:themeColor="background1"/>
                      <w:sz w:val="24"/>
                      <w:szCs w:val="24"/>
                    </w:rPr>
                  </w:pPr>
                </w:p>
                <w:p w14:paraId="6AC90B3B" w14:textId="77777777" w:rsidR="003160D7" w:rsidRDefault="00E063DA" w:rsidP="003160D7">
                  <w:pPr>
                    <w:rPr>
                      <w:b/>
                      <w:color w:val="FFFFFF" w:themeColor="background1"/>
                      <w:sz w:val="24"/>
                      <w:szCs w:val="24"/>
                    </w:rPr>
                  </w:pPr>
                </w:p>
                <w:p w14:paraId="3DC0C51A" w14:textId="77777777" w:rsidR="003160D7" w:rsidRDefault="00E063DA" w:rsidP="003160D7">
                  <w:pPr>
                    <w:rPr>
                      <w:b/>
                      <w:color w:val="FFFFFF" w:themeColor="background1"/>
                      <w:sz w:val="24"/>
                      <w:szCs w:val="24"/>
                    </w:rPr>
                  </w:pPr>
                </w:p>
                <w:p w14:paraId="27565B3A" w14:textId="77777777" w:rsidR="003160D7" w:rsidRDefault="00E063DA" w:rsidP="003160D7">
                  <w:pPr>
                    <w:rPr>
                      <w:b/>
                      <w:color w:val="FFFFFF" w:themeColor="background1"/>
                      <w:sz w:val="24"/>
                      <w:szCs w:val="24"/>
                    </w:rPr>
                  </w:pPr>
                </w:p>
                <w:p w14:paraId="36F67F50" w14:textId="77777777" w:rsidR="003160D7" w:rsidRPr="005C3B4F" w:rsidRDefault="00E063DA" w:rsidP="003160D7">
                  <w:pPr>
                    <w:rPr>
                      <w:b/>
                      <w:color w:val="FFFFFF" w:themeColor="background1"/>
                      <w:sz w:val="24"/>
                      <w:szCs w:val="24"/>
                    </w:rPr>
                  </w:pPr>
                </w:p>
              </w:tc>
            </w:tr>
          </w:tbl>
          <w:p w14:paraId="034692A2" w14:textId="77777777" w:rsidR="003160D7" w:rsidRPr="005C3B4F" w:rsidRDefault="00E063DA" w:rsidP="003160D7">
            <w:pPr>
              <w:rPr>
                <w:b/>
                <w:color w:val="FFFFFF" w:themeColor="background1"/>
                <w:sz w:val="24"/>
                <w:szCs w:val="24"/>
              </w:rPr>
            </w:pPr>
          </w:p>
        </w:tc>
      </w:tr>
    </w:tbl>
    <w:p w14:paraId="102A0CEF" w14:textId="77777777" w:rsidR="003160D7" w:rsidRDefault="00E063DA"/>
    <w:sectPr w:rsidR="003160D7" w:rsidSect="003160D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B165C3" w14:textId="77777777" w:rsidR="004E7146" w:rsidRDefault="0054252B">
      <w:pPr>
        <w:spacing w:after="0" w:line="240" w:lineRule="auto"/>
      </w:pPr>
      <w:r>
        <w:separator/>
      </w:r>
    </w:p>
  </w:endnote>
  <w:endnote w:type="continuationSeparator" w:id="0">
    <w:p w14:paraId="678E711B" w14:textId="77777777" w:rsidR="004E7146" w:rsidRDefault="005425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9582138"/>
      <w:docPartObj>
        <w:docPartGallery w:val="Page Numbers (Bottom of Page)"/>
        <w:docPartUnique/>
      </w:docPartObj>
    </w:sdtPr>
    <w:sdtEndPr>
      <w:rPr>
        <w:noProof/>
      </w:rPr>
    </w:sdtEndPr>
    <w:sdtContent>
      <w:p w14:paraId="3E058860" w14:textId="77777777" w:rsidR="003160D7" w:rsidRDefault="0054252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54DA995" w14:textId="77777777" w:rsidR="003160D7" w:rsidRDefault="00E063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5D67E6" w14:textId="77777777" w:rsidR="004E7146" w:rsidRDefault="0054252B">
      <w:pPr>
        <w:spacing w:after="0" w:line="240" w:lineRule="auto"/>
      </w:pPr>
      <w:r>
        <w:separator/>
      </w:r>
    </w:p>
  </w:footnote>
  <w:footnote w:type="continuationSeparator" w:id="0">
    <w:p w14:paraId="5B634683" w14:textId="77777777" w:rsidR="004E7146" w:rsidRDefault="0054252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61B1"/>
    <w:rsid w:val="000C549D"/>
    <w:rsid w:val="00151B41"/>
    <w:rsid w:val="001C2EFA"/>
    <w:rsid w:val="001F426D"/>
    <w:rsid w:val="002F70FE"/>
    <w:rsid w:val="00345621"/>
    <w:rsid w:val="004E7146"/>
    <w:rsid w:val="004F0C38"/>
    <w:rsid w:val="004F7F5A"/>
    <w:rsid w:val="005402F9"/>
    <w:rsid w:val="0054252B"/>
    <w:rsid w:val="008677BE"/>
    <w:rsid w:val="008E18C3"/>
    <w:rsid w:val="00A25B0A"/>
    <w:rsid w:val="00A32889"/>
    <w:rsid w:val="00AF288B"/>
    <w:rsid w:val="00BD5E8A"/>
    <w:rsid w:val="00C561B1"/>
    <w:rsid w:val="00C86D27"/>
    <w:rsid w:val="00CB375D"/>
    <w:rsid w:val="00D84930"/>
    <w:rsid w:val="00DE63BC"/>
    <w:rsid w:val="00E063DA"/>
    <w:rsid w:val="00EE70AD"/>
    <w:rsid w:val="00F16710"/>
    <w:rsid w:val="00F313A4"/>
    <w:rsid w:val="00FA75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38F93"/>
  <w15:docId w15:val="{063B213F-B28D-468F-A3C2-A946A63D92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57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808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038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3831"/>
  </w:style>
  <w:style w:type="paragraph" w:styleId="Footer">
    <w:name w:val="footer"/>
    <w:basedOn w:val="Normal"/>
    <w:link w:val="FooterChar"/>
    <w:uiPriority w:val="99"/>
    <w:unhideWhenUsed/>
    <w:rsid w:val="004038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3831"/>
  </w:style>
  <w:style w:type="paragraph" w:styleId="NormalWeb">
    <w:name w:val="Normal (Web)"/>
    <w:basedOn w:val="Normal"/>
    <w:uiPriority w:val="99"/>
    <w:semiHidden/>
    <w:unhideWhenUsed/>
    <w:rsid w:val="004C5A7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F511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1173"/>
    <w:rPr>
      <w:rFonts w:ascii="Tahoma" w:hAnsi="Tahoma" w:cs="Tahoma"/>
      <w:sz w:val="16"/>
      <w:szCs w:val="16"/>
    </w:rPr>
  </w:style>
  <w:style w:type="character" w:styleId="CommentReference">
    <w:name w:val="annotation reference"/>
    <w:basedOn w:val="DefaultParagraphFont"/>
    <w:uiPriority w:val="99"/>
    <w:semiHidden/>
    <w:unhideWhenUsed/>
    <w:rsid w:val="00F51173"/>
    <w:rPr>
      <w:sz w:val="16"/>
      <w:szCs w:val="16"/>
    </w:rPr>
  </w:style>
  <w:style w:type="paragraph" w:styleId="CommentText">
    <w:name w:val="annotation text"/>
    <w:basedOn w:val="Normal"/>
    <w:link w:val="CommentTextChar"/>
    <w:uiPriority w:val="99"/>
    <w:semiHidden/>
    <w:unhideWhenUsed/>
    <w:rsid w:val="00F51173"/>
    <w:pPr>
      <w:spacing w:line="240" w:lineRule="auto"/>
    </w:pPr>
    <w:rPr>
      <w:sz w:val="20"/>
      <w:szCs w:val="20"/>
    </w:rPr>
  </w:style>
  <w:style w:type="character" w:customStyle="1" w:styleId="CommentTextChar">
    <w:name w:val="Comment Text Char"/>
    <w:basedOn w:val="DefaultParagraphFont"/>
    <w:link w:val="CommentText"/>
    <w:uiPriority w:val="99"/>
    <w:semiHidden/>
    <w:rsid w:val="00F51173"/>
    <w:rPr>
      <w:sz w:val="20"/>
      <w:szCs w:val="20"/>
    </w:rPr>
  </w:style>
  <w:style w:type="paragraph" w:styleId="CommentSubject">
    <w:name w:val="annotation subject"/>
    <w:basedOn w:val="CommentText"/>
    <w:next w:val="CommentText"/>
    <w:link w:val="CommentSubjectChar"/>
    <w:uiPriority w:val="99"/>
    <w:semiHidden/>
    <w:unhideWhenUsed/>
    <w:rsid w:val="00F51173"/>
    <w:rPr>
      <w:b/>
      <w:bCs/>
    </w:rPr>
  </w:style>
  <w:style w:type="character" w:customStyle="1" w:styleId="CommentSubjectChar">
    <w:name w:val="Comment Subject Char"/>
    <w:basedOn w:val="CommentTextChar"/>
    <w:link w:val="CommentSubject"/>
    <w:uiPriority w:val="99"/>
    <w:semiHidden/>
    <w:rsid w:val="00F5117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chart" Target="charts/chart10.xml"/><Relationship Id="rId26" Type="http://schemas.openxmlformats.org/officeDocument/2006/relationships/chart" Target="charts/chart18.xml"/><Relationship Id="rId3" Type="http://schemas.openxmlformats.org/officeDocument/2006/relationships/settings" Target="settings.xml"/><Relationship Id="rId21" Type="http://schemas.openxmlformats.org/officeDocument/2006/relationships/chart" Target="charts/chart13.xml"/><Relationship Id="rId7" Type="http://schemas.openxmlformats.org/officeDocument/2006/relationships/image" Target="media/image1.jpeg"/><Relationship Id="rId12" Type="http://schemas.openxmlformats.org/officeDocument/2006/relationships/chart" Target="charts/chart5.xml"/><Relationship Id="rId17" Type="http://schemas.openxmlformats.org/officeDocument/2006/relationships/footer" Target="footer1.xml"/><Relationship Id="rId25" Type="http://schemas.openxmlformats.org/officeDocument/2006/relationships/chart" Target="charts/chart17.xml"/><Relationship Id="rId2" Type="http://schemas.openxmlformats.org/officeDocument/2006/relationships/styles" Target="styles.xml"/><Relationship Id="rId16" Type="http://schemas.openxmlformats.org/officeDocument/2006/relationships/chart" Target="charts/chart9.xml"/><Relationship Id="rId20" Type="http://schemas.openxmlformats.org/officeDocument/2006/relationships/chart" Target="charts/chart12.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hart" Target="charts/chart4.xml"/><Relationship Id="rId24" Type="http://schemas.openxmlformats.org/officeDocument/2006/relationships/chart" Target="charts/chart16.xml"/><Relationship Id="rId5"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chart" Target="charts/chart15.xml"/><Relationship Id="rId28" Type="http://schemas.openxmlformats.org/officeDocument/2006/relationships/fontTable" Target="fontTable.xml"/><Relationship Id="rId10" Type="http://schemas.openxmlformats.org/officeDocument/2006/relationships/chart" Target="charts/chart3.xml"/><Relationship Id="rId19" Type="http://schemas.openxmlformats.org/officeDocument/2006/relationships/chart" Target="charts/chart11.xml"/><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chart" Target="charts/chart14.xml"/><Relationship Id="rId27" Type="http://schemas.openxmlformats.org/officeDocument/2006/relationships/chart" Target="charts/chart19.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037687874526628E-2"/>
          <c:y val="2.7251698176747899E-2"/>
          <c:w val="0.93295665692096541"/>
          <c:h val="0.82156593637350628"/>
        </c:manualLayout>
      </c:layout>
      <c:barChart>
        <c:barDir val="col"/>
        <c:grouping val="clustered"/>
        <c:varyColors val="0"/>
        <c:ser>
          <c:idx val="3"/>
          <c:order val="3"/>
          <c:tx>
            <c:strRef>
              <c:f>'Further Analysis Sheet'!$C$7</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Sheet'!$D$7:$O$7</c:f>
              <c:numCache>
                <c:formatCode>General</c:formatCode>
                <c:ptCount val="12"/>
                <c:pt idx="0">
                  <c:v>1849</c:v>
                </c:pt>
                <c:pt idx="1">
                  <c:v>1643</c:v>
                </c:pt>
                <c:pt idx="2">
                  <c:v>2279</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177F-4A93-8DC2-AAF25FAAE4FC}"/>
            </c:ext>
          </c:extLst>
        </c:ser>
        <c:dLbls>
          <c:showLegendKey val="0"/>
          <c:showVal val="0"/>
          <c:showCatName val="0"/>
          <c:showSerName val="0"/>
          <c:showPercent val="0"/>
          <c:showBubbleSize val="0"/>
        </c:dLbls>
        <c:gapWidth val="60"/>
        <c:axId val="248578536"/>
        <c:axId val="248578928"/>
      </c:barChart>
      <c:lineChart>
        <c:grouping val="standard"/>
        <c:varyColors val="0"/>
        <c:ser>
          <c:idx val="2"/>
          <c:order val="2"/>
          <c:tx>
            <c:strRef>
              <c:f>'Further Analysis Sheet'!$C$6</c:f>
              <c:strCache>
                <c:ptCount val="1"/>
                <c:pt idx="0">
                  <c:v>Previous Year</c:v>
                </c:pt>
              </c:strCache>
            </c:strRef>
          </c:tx>
          <c:spPr>
            <a:ln>
              <a:solidFill>
                <a:srgbClr val="0070C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Sheet'!$D$6:$O$6</c:f>
              <c:numCache>
                <c:formatCode>General</c:formatCode>
                <c:ptCount val="12"/>
                <c:pt idx="0">
                  <c:v>2368</c:v>
                </c:pt>
                <c:pt idx="1">
                  <c:v>2066</c:v>
                </c:pt>
                <c:pt idx="2">
                  <c:v>2035</c:v>
                </c:pt>
                <c:pt idx="3">
                  <c:v>3320</c:v>
                </c:pt>
                <c:pt idx="4">
                  <c:v>3504</c:v>
                </c:pt>
                <c:pt idx="5">
                  <c:v>1880</c:v>
                </c:pt>
                <c:pt idx="6">
                  <c:v>1719</c:v>
                </c:pt>
                <c:pt idx="7">
                  <c:v>1694</c:v>
                </c:pt>
                <c:pt idx="8">
                  <c:v>1704</c:v>
                </c:pt>
                <c:pt idx="9">
                  <c:v>1420</c:v>
                </c:pt>
                <c:pt idx="10">
                  <c:v>1632</c:v>
                </c:pt>
                <c:pt idx="11">
                  <c:v>1457</c:v>
                </c:pt>
              </c:numCache>
            </c:numRef>
          </c:val>
          <c:smooth val="0"/>
          <c:extLst>
            <c:ext xmlns:c16="http://schemas.microsoft.com/office/drawing/2014/chart" uri="{C3380CC4-5D6E-409C-BE32-E72D297353CC}">
              <c16:uniqueId val="{00000001-177F-4A93-8DC2-AAF25FAAE4FC}"/>
            </c:ext>
          </c:extLst>
        </c:ser>
        <c:dLbls>
          <c:showLegendKey val="0"/>
          <c:showVal val="0"/>
          <c:showCatName val="0"/>
          <c:showSerName val="0"/>
          <c:showPercent val="0"/>
          <c:showBubbleSize val="0"/>
        </c:dLbls>
        <c:marker val="1"/>
        <c:smooth val="0"/>
        <c:axId val="248578536"/>
        <c:axId val="248578928"/>
        <c:extLst>
          <c:ext xmlns:c15="http://schemas.microsoft.com/office/drawing/2012/chart" uri="{02D57815-91ED-43cb-92C2-25804820EDAC}">
            <c15:filteredLineSeries>
              <c15:ser>
                <c:idx val="0"/>
                <c:order val="0"/>
                <c:tx>
                  <c:strRef>
                    <c:extLst>
                      <c:ext uri="{02D57815-91ED-43cb-92C2-25804820EDAC}">
                        <c15:formulaRef>
                          <c15:sqref>'Further Analysis Sheet'!$C$4</c15:sqref>
                        </c15:formulaRef>
                      </c:ext>
                    </c:extLst>
                    <c:strCache>
                      <c:ptCount val="1"/>
                    </c:strCache>
                  </c:strRef>
                </c:tx>
                <c:spPr>
                  <a:ln>
                    <a:solidFill>
                      <a:srgbClr val="00B050"/>
                    </a:solidFill>
                  </a:ln>
                </c:spPr>
                <c:marker>
                  <c:symbol val="none"/>
                </c:marker>
                <c:cat>
                  <c:strRef>
                    <c:extLst>
                      <c:ext uri="{02D57815-91ED-43cb-92C2-25804820EDAC}">
                        <c15:formulaRef>
                          <c15:sqref>'Further Analysis Sheet'!$D$3:$O$3</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c:ext uri="{02D57815-91ED-43cb-92C2-25804820EDAC}">
                        <c15:formulaRef>
                          <c15:sqref>'Further Analysis Sheet'!$D$4:$O$4</c15:sqref>
                        </c15:formulaRef>
                      </c:ext>
                    </c:extLst>
                    <c:numCache>
                      <c:formatCode>General</c:formatCode>
                      <c:ptCount val="12"/>
                    </c:numCache>
                  </c:numRef>
                </c:val>
                <c:smooth val="0"/>
                <c:extLst>
                  <c:ext xmlns:c16="http://schemas.microsoft.com/office/drawing/2014/chart" uri="{C3380CC4-5D6E-409C-BE32-E72D297353CC}">
                    <c16:uniqueId val="{00000002-177F-4A93-8DC2-AAF25FAAE4FC}"/>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Sheet'!$C$5</c15:sqref>
                        </c15:formulaRef>
                      </c:ext>
                    </c:extLst>
                    <c:strCache>
                      <c:ptCount val="1"/>
                    </c:strCache>
                  </c:strRef>
                </c:tx>
                <c:spPr>
                  <a:ln>
                    <a:prstDash val="solid"/>
                  </a:ln>
                </c:spPr>
                <c:marker>
                  <c:symbol val="none"/>
                </c:marker>
                <c:cat>
                  <c:strRef>
                    <c:extLst xmlns:c15="http://schemas.microsoft.com/office/drawing/2012/chart">
                      <c:ext xmlns:c15="http://schemas.microsoft.com/office/drawing/2012/chart" uri="{02D57815-91ED-43cb-92C2-25804820EDAC}">
                        <c15:formulaRef>
                          <c15:sqref>'Further Analysis Sheet'!$D$3:$O$3</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xmlns:c15="http://schemas.microsoft.com/office/drawing/2012/chart">
                      <c:ext xmlns:c15="http://schemas.microsoft.com/office/drawing/2012/chart" uri="{02D57815-91ED-43cb-92C2-25804820EDAC}">
                        <c15:formulaRef>
                          <c15:sqref>'Further Analysis Sheet'!$D$5:$O$5</c15:sqref>
                        </c15:formulaRef>
                      </c:ext>
                    </c:extLst>
                    <c:numCache>
                      <c:formatCode>General</c:formatCode>
                      <c:ptCount val="12"/>
                    </c:numCache>
                  </c:numRef>
                </c:val>
                <c:smooth val="0"/>
                <c:extLst xmlns:c15="http://schemas.microsoft.com/office/drawing/2012/chart">
                  <c:ext xmlns:c16="http://schemas.microsoft.com/office/drawing/2014/chart" uri="{C3380CC4-5D6E-409C-BE32-E72D297353CC}">
                    <c16:uniqueId val="{00000003-177F-4A93-8DC2-AAF25FAAE4FC}"/>
                  </c:ext>
                </c:extLst>
              </c15:ser>
            </c15:filteredLineSeries>
          </c:ext>
        </c:extLst>
      </c:lineChart>
      <c:catAx>
        <c:axId val="248578536"/>
        <c:scaling>
          <c:orientation val="minMax"/>
        </c:scaling>
        <c:delete val="0"/>
        <c:axPos val="b"/>
        <c:numFmt formatCode="General" sourceLinked="0"/>
        <c:majorTickMark val="out"/>
        <c:minorTickMark val="none"/>
        <c:tickLblPos val="nextTo"/>
        <c:txPr>
          <a:bodyPr/>
          <a:lstStyle/>
          <a:p>
            <a:pPr>
              <a:defRPr sz="800"/>
            </a:pPr>
            <a:endParaRPr lang="en-US"/>
          </a:p>
        </c:txPr>
        <c:crossAx val="248578928"/>
        <c:crosses val="autoZero"/>
        <c:auto val="1"/>
        <c:lblAlgn val="ctr"/>
        <c:lblOffset val="100"/>
        <c:noMultiLvlLbl val="0"/>
      </c:catAx>
      <c:valAx>
        <c:axId val="24857892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78536"/>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0284379209736688E-2"/>
          <c:y val="4.223531432765662E-2"/>
          <c:w val="0.95971562079026329"/>
          <c:h val="0.79443884841528267"/>
        </c:manualLayout>
      </c:layout>
      <c:barChart>
        <c:barDir val="col"/>
        <c:grouping val="clustered"/>
        <c:varyColors val="0"/>
        <c:ser>
          <c:idx val="3"/>
          <c:order val="3"/>
          <c:tx>
            <c:strRef>
              <c:f>'Further Analysis Sheet'!$C$67</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Sheet'!$D$67:$O$67</c:f>
              <c:numCache>
                <c:formatCode>General</c:formatCode>
                <c:ptCount val="12"/>
                <c:pt idx="0">
                  <c:v>9</c:v>
                </c:pt>
                <c:pt idx="1">
                  <c:v>5</c:v>
                </c:pt>
                <c:pt idx="2">
                  <c:v>10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A92E-437B-9A46-71A3B8F55141}"/>
            </c:ext>
          </c:extLst>
        </c:ser>
        <c:dLbls>
          <c:showLegendKey val="0"/>
          <c:showVal val="0"/>
          <c:showCatName val="0"/>
          <c:showSerName val="0"/>
          <c:showPercent val="0"/>
          <c:showBubbleSize val="0"/>
        </c:dLbls>
        <c:gapWidth val="60"/>
        <c:axId val="249084112"/>
        <c:axId val="249084504"/>
      </c:barChart>
      <c:lineChart>
        <c:grouping val="standard"/>
        <c:varyColors val="0"/>
        <c:ser>
          <c:idx val="0"/>
          <c:order val="0"/>
          <c:tx>
            <c:strRef>
              <c:f>'Further Analysis Sheet'!$C$64</c:f>
              <c:strCache>
                <c:ptCount val="1"/>
                <c:pt idx="0">
                  <c:v>Target</c:v>
                </c:pt>
              </c:strCache>
            </c:strRef>
          </c:tx>
          <c:spPr>
            <a:ln>
              <a:solidFill>
                <a:srgbClr val="00B05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Sheet'!$D$64:$O$64</c:f>
              <c:numCache>
                <c:formatCode>General</c:formatCode>
                <c:ptCount val="12"/>
                <c:pt idx="0">
                  <c:v>8</c:v>
                </c:pt>
                <c:pt idx="1">
                  <c:v>14</c:v>
                </c:pt>
                <c:pt idx="2">
                  <c:v>9</c:v>
                </c:pt>
                <c:pt idx="3">
                  <c:v>13</c:v>
                </c:pt>
                <c:pt idx="4">
                  <c:v>10</c:v>
                </c:pt>
                <c:pt idx="5">
                  <c:v>8</c:v>
                </c:pt>
                <c:pt idx="6">
                  <c:v>11</c:v>
                </c:pt>
                <c:pt idx="7">
                  <c:v>12</c:v>
                </c:pt>
                <c:pt idx="8">
                  <c:v>10</c:v>
                </c:pt>
                <c:pt idx="9">
                  <c:v>10</c:v>
                </c:pt>
                <c:pt idx="10">
                  <c:v>9</c:v>
                </c:pt>
                <c:pt idx="11">
                  <c:v>11</c:v>
                </c:pt>
              </c:numCache>
            </c:numRef>
          </c:val>
          <c:smooth val="0"/>
          <c:extLst>
            <c:ext xmlns:c16="http://schemas.microsoft.com/office/drawing/2014/chart" uri="{C3380CC4-5D6E-409C-BE32-E72D297353CC}">
              <c16:uniqueId val="{00000001-A92E-437B-9A46-71A3B8F55141}"/>
            </c:ext>
          </c:extLst>
        </c:ser>
        <c:ser>
          <c:idx val="1"/>
          <c:order val="1"/>
          <c:tx>
            <c:strRef>
              <c:f>'Further Analysis Sheet'!$C$65</c:f>
              <c:strCache>
                <c:ptCount val="1"/>
                <c:pt idx="0">
                  <c:v>Target +10%</c:v>
                </c:pt>
              </c:strCache>
            </c:strRef>
          </c:tx>
          <c:spPr>
            <a:ln>
              <a:solidFill>
                <a:srgbClr val="C0000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Sheet'!$D$65:$O$65</c:f>
              <c:numCache>
                <c:formatCode>General</c:formatCode>
                <c:ptCount val="12"/>
                <c:pt idx="0">
                  <c:v>8.8000000000000007</c:v>
                </c:pt>
                <c:pt idx="1">
                  <c:v>15.400000000000002</c:v>
                </c:pt>
                <c:pt idx="2">
                  <c:v>9.9</c:v>
                </c:pt>
                <c:pt idx="3">
                  <c:v>14.3</c:v>
                </c:pt>
                <c:pt idx="4">
                  <c:v>11</c:v>
                </c:pt>
                <c:pt idx="5">
                  <c:v>8.8000000000000007</c:v>
                </c:pt>
                <c:pt idx="6">
                  <c:v>12.100000000000001</c:v>
                </c:pt>
                <c:pt idx="7">
                  <c:v>13.200000000000001</c:v>
                </c:pt>
                <c:pt idx="8">
                  <c:v>11</c:v>
                </c:pt>
                <c:pt idx="9">
                  <c:v>11</c:v>
                </c:pt>
                <c:pt idx="10">
                  <c:v>9.9</c:v>
                </c:pt>
                <c:pt idx="11">
                  <c:v>12.100000000000001</c:v>
                </c:pt>
              </c:numCache>
            </c:numRef>
          </c:val>
          <c:smooth val="0"/>
          <c:extLst>
            <c:ext xmlns:c16="http://schemas.microsoft.com/office/drawing/2014/chart" uri="{C3380CC4-5D6E-409C-BE32-E72D297353CC}">
              <c16:uniqueId val="{00000002-A92E-437B-9A46-71A3B8F55141}"/>
            </c:ext>
          </c:extLst>
        </c:ser>
        <c:ser>
          <c:idx val="2"/>
          <c:order val="2"/>
          <c:tx>
            <c:strRef>
              <c:f>'Further Analysis Sheet'!$C$66</c:f>
              <c:strCache>
                <c:ptCount val="1"/>
                <c:pt idx="0">
                  <c:v>Target -10%</c:v>
                </c:pt>
              </c:strCache>
            </c:strRef>
          </c:tx>
          <c:spPr>
            <a:ln>
              <a:solidFill>
                <a:srgbClr val="7030A0"/>
              </a:solidFill>
            </a:ln>
          </c:spPr>
          <c:marker>
            <c:symbol val="none"/>
          </c:marker>
          <c:cat>
            <c:strRef>
              <c:f>'Further Analysis Sheet'!$D$63:$O$63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Sheet'!$D$66:$O$66</c:f>
              <c:numCache>
                <c:formatCode>General</c:formatCode>
                <c:ptCount val="12"/>
                <c:pt idx="0">
                  <c:v>7.2</c:v>
                </c:pt>
                <c:pt idx="1">
                  <c:v>12.6</c:v>
                </c:pt>
                <c:pt idx="2">
                  <c:v>8.1</c:v>
                </c:pt>
                <c:pt idx="3">
                  <c:v>11.700000000000001</c:v>
                </c:pt>
                <c:pt idx="4">
                  <c:v>9</c:v>
                </c:pt>
                <c:pt idx="5">
                  <c:v>7.2</c:v>
                </c:pt>
                <c:pt idx="6">
                  <c:v>9.9</c:v>
                </c:pt>
                <c:pt idx="7">
                  <c:v>10.8</c:v>
                </c:pt>
                <c:pt idx="8">
                  <c:v>9</c:v>
                </c:pt>
                <c:pt idx="9">
                  <c:v>9</c:v>
                </c:pt>
                <c:pt idx="10">
                  <c:v>8.1</c:v>
                </c:pt>
                <c:pt idx="11">
                  <c:v>9.9</c:v>
                </c:pt>
              </c:numCache>
            </c:numRef>
          </c:val>
          <c:smooth val="0"/>
          <c:extLst>
            <c:ext xmlns:c16="http://schemas.microsoft.com/office/drawing/2014/chart" uri="{C3380CC4-5D6E-409C-BE32-E72D297353CC}">
              <c16:uniqueId val="{00000003-A92E-437B-9A46-71A3B8F55141}"/>
            </c:ext>
          </c:extLst>
        </c:ser>
        <c:dLbls>
          <c:showLegendKey val="0"/>
          <c:showVal val="0"/>
          <c:showCatName val="0"/>
          <c:showSerName val="0"/>
          <c:showPercent val="0"/>
          <c:showBubbleSize val="0"/>
        </c:dLbls>
        <c:marker val="1"/>
        <c:smooth val="0"/>
        <c:axId val="249084112"/>
        <c:axId val="249084504"/>
      </c:lineChart>
      <c:catAx>
        <c:axId val="249084112"/>
        <c:scaling>
          <c:orientation val="minMax"/>
        </c:scaling>
        <c:delete val="0"/>
        <c:axPos val="b"/>
        <c:numFmt formatCode="General" sourceLinked="0"/>
        <c:majorTickMark val="out"/>
        <c:minorTickMark val="none"/>
        <c:tickLblPos val="nextTo"/>
        <c:txPr>
          <a:bodyPr/>
          <a:lstStyle/>
          <a:p>
            <a:pPr>
              <a:defRPr sz="800"/>
            </a:pPr>
            <a:endParaRPr lang="en-US"/>
          </a:p>
        </c:txPr>
        <c:crossAx val="249084504"/>
        <c:crosses val="autoZero"/>
        <c:auto val="1"/>
        <c:lblAlgn val="ctr"/>
        <c:lblOffset val="100"/>
        <c:noMultiLvlLbl val="0"/>
      </c:catAx>
      <c:valAx>
        <c:axId val="2490845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908411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724076717371903E-2"/>
          <c:y val="2.7213551572323365E-2"/>
          <c:w val="0.96241169168038965"/>
          <c:h val="0.81331827429683856"/>
        </c:manualLayout>
      </c:layout>
      <c:barChart>
        <c:barDir val="col"/>
        <c:grouping val="clustered"/>
        <c:varyColors val="0"/>
        <c:ser>
          <c:idx val="3"/>
          <c:order val="3"/>
          <c:tx>
            <c:strRef>
              <c:f>'Further Analysis Sheet'!$C$72</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Sheet'!$D$72:$O$72</c:f>
              <c:numCache>
                <c:formatCode>General</c:formatCode>
                <c:ptCount val="12"/>
                <c:pt idx="0">
                  <c:v>4</c:v>
                </c:pt>
                <c:pt idx="1">
                  <c:v>2</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B810-4581-98E4-31A31BC55FD1}"/>
            </c:ext>
          </c:extLst>
        </c:ser>
        <c:dLbls>
          <c:showLegendKey val="0"/>
          <c:showVal val="0"/>
          <c:showCatName val="0"/>
          <c:showSerName val="0"/>
          <c:showPercent val="0"/>
          <c:showBubbleSize val="0"/>
        </c:dLbls>
        <c:gapWidth val="60"/>
        <c:axId val="249413936"/>
        <c:axId val="249414328"/>
      </c:barChart>
      <c:lineChart>
        <c:grouping val="standard"/>
        <c:varyColors val="0"/>
        <c:ser>
          <c:idx val="0"/>
          <c:order val="0"/>
          <c:tx>
            <c:strRef>
              <c:f>'Further Analysis Sheet'!$C$69</c:f>
              <c:strCache>
                <c:ptCount val="1"/>
                <c:pt idx="0">
                  <c:v>Target</c:v>
                </c:pt>
              </c:strCache>
            </c:strRef>
          </c:tx>
          <c:spPr>
            <a:ln>
              <a:solidFill>
                <a:srgbClr val="00B05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Sheet'!$D$69:$O$69</c:f>
              <c:numCache>
                <c:formatCode>General</c:formatCode>
                <c:ptCount val="12"/>
                <c:pt idx="0">
                  <c:v>2</c:v>
                </c:pt>
                <c:pt idx="1">
                  <c:v>2</c:v>
                </c:pt>
                <c:pt idx="2">
                  <c:v>1</c:v>
                </c:pt>
                <c:pt idx="3">
                  <c:v>1</c:v>
                </c:pt>
                <c:pt idx="4">
                  <c:v>1</c:v>
                </c:pt>
                <c:pt idx="5">
                  <c:v>2</c:v>
                </c:pt>
                <c:pt idx="6">
                  <c:v>1</c:v>
                </c:pt>
                <c:pt idx="7">
                  <c:v>1</c:v>
                </c:pt>
                <c:pt idx="8">
                  <c:v>1</c:v>
                </c:pt>
                <c:pt idx="9">
                  <c:v>1</c:v>
                </c:pt>
                <c:pt idx="10">
                  <c:v>1</c:v>
                </c:pt>
                <c:pt idx="11">
                  <c:v>2</c:v>
                </c:pt>
              </c:numCache>
            </c:numRef>
          </c:val>
          <c:smooth val="0"/>
          <c:extLst>
            <c:ext xmlns:c16="http://schemas.microsoft.com/office/drawing/2014/chart" uri="{C3380CC4-5D6E-409C-BE32-E72D297353CC}">
              <c16:uniqueId val="{00000001-B810-4581-98E4-31A31BC55FD1}"/>
            </c:ext>
          </c:extLst>
        </c:ser>
        <c:ser>
          <c:idx val="1"/>
          <c:order val="1"/>
          <c:tx>
            <c:strRef>
              <c:f>'Further Analysis Sheet'!$C$70</c:f>
              <c:strCache>
                <c:ptCount val="1"/>
                <c:pt idx="0">
                  <c:v>Target +10%</c:v>
                </c:pt>
              </c:strCache>
            </c:strRef>
          </c:tx>
          <c:spPr>
            <a:ln>
              <a:solidFill>
                <a:srgbClr val="C0000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Sheet'!$D$70:$O$70</c:f>
              <c:numCache>
                <c:formatCode>General</c:formatCode>
                <c:ptCount val="12"/>
                <c:pt idx="0">
                  <c:v>2.2000000000000002</c:v>
                </c:pt>
                <c:pt idx="1">
                  <c:v>2.2000000000000002</c:v>
                </c:pt>
                <c:pt idx="2">
                  <c:v>1.1000000000000001</c:v>
                </c:pt>
                <c:pt idx="3">
                  <c:v>1.1000000000000001</c:v>
                </c:pt>
                <c:pt idx="4">
                  <c:v>1.1000000000000001</c:v>
                </c:pt>
                <c:pt idx="5">
                  <c:v>2.2000000000000002</c:v>
                </c:pt>
                <c:pt idx="6">
                  <c:v>1.1000000000000001</c:v>
                </c:pt>
                <c:pt idx="7">
                  <c:v>1.1000000000000001</c:v>
                </c:pt>
                <c:pt idx="8">
                  <c:v>1.1000000000000001</c:v>
                </c:pt>
                <c:pt idx="9">
                  <c:v>1.1000000000000001</c:v>
                </c:pt>
                <c:pt idx="10">
                  <c:v>1.1000000000000001</c:v>
                </c:pt>
                <c:pt idx="11">
                  <c:v>2.2000000000000002</c:v>
                </c:pt>
              </c:numCache>
            </c:numRef>
          </c:val>
          <c:smooth val="0"/>
          <c:extLst>
            <c:ext xmlns:c16="http://schemas.microsoft.com/office/drawing/2014/chart" uri="{C3380CC4-5D6E-409C-BE32-E72D297353CC}">
              <c16:uniqueId val="{00000002-B810-4581-98E4-31A31BC55FD1}"/>
            </c:ext>
          </c:extLst>
        </c:ser>
        <c:ser>
          <c:idx val="2"/>
          <c:order val="2"/>
          <c:tx>
            <c:strRef>
              <c:f>'Further Analysis Sheet'!$C$71</c:f>
              <c:strCache>
                <c:ptCount val="1"/>
                <c:pt idx="0">
                  <c:v>Target -10%</c:v>
                </c:pt>
              </c:strCache>
            </c:strRef>
          </c:tx>
          <c:spPr>
            <a:ln>
              <a:solidFill>
                <a:srgbClr val="7030A0"/>
              </a:solidFill>
            </a:ln>
          </c:spPr>
          <c:marker>
            <c:symbol val="none"/>
          </c:marker>
          <c:cat>
            <c:strRef>
              <c:f>'Further Analysis Sheet'!$D$68:$O$68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Sheet'!$D$71:$O$71</c:f>
              <c:numCache>
                <c:formatCode>General</c:formatCode>
                <c:ptCount val="12"/>
                <c:pt idx="0">
                  <c:v>1.8</c:v>
                </c:pt>
                <c:pt idx="1">
                  <c:v>1.8</c:v>
                </c:pt>
                <c:pt idx="2">
                  <c:v>0.9</c:v>
                </c:pt>
                <c:pt idx="3">
                  <c:v>0.9</c:v>
                </c:pt>
                <c:pt idx="4">
                  <c:v>0.9</c:v>
                </c:pt>
                <c:pt idx="5">
                  <c:v>1.8</c:v>
                </c:pt>
                <c:pt idx="6">
                  <c:v>0.9</c:v>
                </c:pt>
                <c:pt idx="7">
                  <c:v>0.9</c:v>
                </c:pt>
                <c:pt idx="8">
                  <c:v>0.9</c:v>
                </c:pt>
                <c:pt idx="9">
                  <c:v>0.9</c:v>
                </c:pt>
                <c:pt idx="10">
                  <c:v>0.9</c:v>
                </c:pt>
                <c:pt idx="11">
                  <c:v>1.8</c:v>
                </c:pt>
              </c:numCache>
            </c:numRef>
          </c:val>
          <c:smooth val="0"/>
          <c:extLst>
            <c:ext xmlns:c16="http://schemas.microsoft.com/office/drawing/2014/chart" uri="{C3380CC4-5D6E-409C-BE32-E72D297353CC}">
              <c16:uniqueId val="{00000003-B810-4581-98E4-31A31BC55FD1}"/>
            </c:ext>
          </c:extLst>
        </c:ser>
        <c:dLbls>
          <c:showLegendKey val="0"/>
          <c:showVal val="0"/>
          <c:showCatName val="0"/>
          <c:showSerName val="0"/>
          <c:showPercent val="0"/>
          <c:showBubbleSize val="0"/>
        </c:dLbls>
        <c:marker val="1"/>
        <c:smooth val="0"/>
        <c:axId val="249413936"/>
        <c:axId val="249414328"/>
      </c:lineChart>
      <c:catAx>
        <c:axId val="249413936"/>
        <c:scaling>
          <c:orientation val="minMax"/>
        </c:scaling>
        <c:delete val="0"/>
        <c:axPos val="b"/>
        <c:numFmt formatCode="General" sourceLinked="0"/>
        <c:majorTickMark val="out"/>
        <c:minorTickMark val="none"/>
        <c:tickLblPos val="nextTo"/>
        <c:txPr>
          <a:bodyPr/>
          <a:lstStyle/>
          <a:p>
            <a:pPr>
              <a:defRPr sz="800"/>
            </a:pPr>
            <a:endParaRPr lang="en-US"/>
          </a:p>
        </c:txPr>
        <c:crossAx val="249414328"/>
        <c:crosses val="autoZero"/>
        <c:auto val="1"/>
        <c:lblAlgn val="ctr"/>
        <c:lblOffset val="100"/>
        <c:noMultiLvlLbl val="0"/>
      </c:catAx>
      <c:valAx>
        <c:axId val="24941432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9413936"/>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35161332193786E-2"/>
          <c:y val="3.72769722098589E-2"/>
          <c:w val="0.93743436213055276"/>
          <c:h val="0.79773556029265935"/>
        </c:manualLayout>
      </c:layout>
      <c:barChart>
        <c:barDir val="col"/>
        <c:grouping val="clustered"/>
        <c:varyColors val="0"/>
        <c:ser>
          <c:idx val="3"/>
          <c:order val="3"/>
          <c:tx>
            <c:strRef>
              <c:f>'Further Analysis Sheet'!$C$27</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Sheet'!$D$27:$O$27</c:f>
              <c:numCache>
                <c:formatCode>General</c:formatCode>
                <c:ptCount val="12"/>
                <c:pt idx="0">
                  <c:v>478</c:v>
                </c:pt>
                <c:pt idx="1">
                  <c:v>527</c:v>
                </c:pt>
                <c:pt idx="2">
                  <c:v>598</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2CF8-4F93-9FE2-23304D849066}"/>
            </c:ext>
          </c:extLst>
        </c:ser>
        <c:dLbls>
          <c:showLegendKey val="0"/>
          <c:showVal val="0"/>
          <c:showCatName val="0"/>
          <c:showSerName val="0"/>
          <c:showPercent val="0"/>
          <c:showBubbleSize val="0"/>
        </c:dLbls>
        <c:gapWidth val="60"/>
        <c:axId val="223248592"/>
        <c:axId val="223248200"/>
      </c:barChart>
      <c:lineChart>
        <c:grouping val="standard"/>
        <c:varyColors val="0"/>
        <c:ser>
          <c:idx val="0"/>
          <c:order val="0"/>
          <c:tx>
            <c:strRef>
              <c:f>'Further Analysis Sheet'!$C$24</c:f>
              <c:strCache>
                <c:ptCount val="1"/>
                <c:pt idx="0">
                  <c:v>Target</c:v>
                </c:pt>
              </c:strCache>
            </c:strRef>
          </c:tx>
          <c:spPr>
            <a:ln>
              <a:solidFill>
                <a:srgbClr val="00B05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Sheet'!$D$24:$O$24</c:f>
              <c:numCache>
                <c:formatCode>General</c:formatCode>
                <c:ptCount val="12"/>
                <c:pt idx="0">
                  <c:v>622</c:v>
                </c:pt>
                <c:pt idx="1">
                  <c:v>561</c:v>
                </c:pt>
                <c:pt idx="2">
                  <c:v>568</c:v>
                </c:pt>
                <c:pt idx="3">
                  <c:v>709</c:v>
                </c:pt>
                <c:pt idx="4">
                  <c:v>533</c:v>
                </c:pt>
                <c:pt idx="5">
                  <c:v>401</c:v>
                </c:pt>
                <c:pt idx="6">
                  <c:v>345</c:v>
                </c:pt>
                <c:pt idx="7">
                  <c:v>413</c:v>
                </c:pt>
                <c:pt idx="8">
                  <c:v>201</c:v>
                </c:pt>
                <c:pt idx="9">
                  <c:v>224</c:v>
                </c:pt>
                <c:pt idx="10">
                  <c:v>227</c:v>
                </c:pt>
                <c:pt idx="11">
                  <c:v>382</c:v>
                </c:pt>
              </c:numCache>
            </c:numRef>
          </c:val>
          <c:smooth val="0"/>
          <c:extLst>
            <c:ext xmlns:c16="http://schemas.microsoft.com/office/drawing/2014/chart" uri="{C3380CC4-5D6E-409C-BE32-E72D297353CC}">
              <c16:uniqueId val="{00000001-2CF8-4F93-9FE2-23304D849066}"/>
            </c:ext>
          </c:extLst>
        </c:ser>
        <c:ser>
          <c:idx val="1"/>
          <c:order val="1"/>
          <c:tx>
            <c:strRef>
              <c:f>'Further Analysis Sheet'!$C$25</c:f>
              <c:strCache>
                <c:ptCount val="1"/>
                <c:pt idx="0">
                  <c:v>Target +10%</c:v>
                </c:pt>
              </c:strCache>
            </c:strRef>
          </c:tx>
          <c:spPr>
            <a:ln>
              <a:solidFill>
                <a:srgbClr val="C0000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Sheet'!$D$25:$O$25</c:f>
              <c:numCache>
                <c:formatCode>General</c:formatCode>
                <c:ptCount val="12"/>
                <c:pt idx="0">
                  <c:v>684.2</c:v>
                </c:pt>
                <c:pt idx="1">
                  <c:v>617.1</c:v>
                </c:pt>
                <c:pt idx="2">
                  <c:v>624.80000000000007</c:v>
                </c:pt>
                <c:pt idx="3">
                  <c:v>779.90000000000009</c:v>
                </c:pt>
                <c:pt idx="4">
                  <c:v>586.30000000000007</c:v>
                </c:pt>
                <c:pt idx="5">
                  <c:v>441.1</c:v>
                </c:pt>
                <c:pt idx="6">
                  <c:v>379.50000000000006</c:v>
                </c:pt>
                <c:pt idx="7">
                  <c:v>454.3</c:v>
                </c:pt>
                <c:pt idx="8">
                  <c:v>221.10000000000002</c:v>
                </c:pt>
                <c:pt idx="9">
                  <c:v>246.40000000000003</c:v>
                </c:pt>
                <c:pt idx="10">
                  <c:v>249.70000000000002</c:v>
                </c:pt>
                <c:pt idx="11">
                  <c:v>420.20000000000005</c:v>
                </c:pt>
              </c:numCache>
            </c:numRef>
          </c:val>
          <c:smooth val="0"/>
          <c:extLst>
            <c:ext xmlns:c16="http://schemas.microsoft.com/office/drawing/2014/chart" uri="{C3380CC4-5D6E-409C-BE32-E72D297353CC}">
              <c16:uniqueId val="{00000002-2CF8-4F93-9FE2-23304D849066}"/>
            </c:ext>
          </c:extLst>
        </c:ser>
        <c:ser>
          <c:idx val="2"/>
          <c:order val="2"/>
          <c:tx>
            <c:strRef>
              <c:f>'Further Analysis Sheet'!$C$26</c:f>
              <c:strCache>
                <c:ptCount val="1"/>
                <c:pt idx="0">
                  <c:v>Target -10%</c:v>
                </c:pt>
              </c:strCache>
            </c:strRef>
          </c:tx>
          <c:spPr>
            <a:ln>
              <a:solidFill>
                <a:srgbClr val="7030A0"/>
              </a:solidFill>
            </a:ln>
          </c:spPr>
          <c:marker>
            <c:symbol val="none"/>
          </c:marker>
          <c:cat>
            <c:strRef>
              <c:f>'Further Analysis Sheet'!$D$23:$O$23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Sheet'!$D$26:$O$26</c:f>
              <c:numCache>
                <c:formatCode>General</c:formatCode>
                <c:ptCount val="12"/>
                <c:pt idx="0">
                  <c:v>559.80000000000007</c:v>
                </c:pt>
                <c:pt idx="1">
                  <c:v>504.90000000000003</c:v>
                </c:pt>
                <c:pt idx="2">
                  <c:v>511.2</c:v>
                </c:pt>
                <c:pt idx="3">
                  <c:v>638.1</c:v>
                </c:pt>
                <c:pt idx="4">
                  <c:v>479.7</c:v>
                </c:pt>
                <c:pt idx="5">
                  <c:v>360.90000000000003</c:v>
                </c:pt>
                <c:pt idx="6">
                  <c:v>310.5</c:v>
                </c:pt>
                <c:pt idx="7">
                  <c:v>371.7</c:v>
                </c:pt>
                <c:pt idx="8">
                  <c:v>180.9</c:v>
                </c:pt>
                <c:pt idx="9">
                  <c:v>201.6</c:v>
                </c:pt>
                <c:pt idx="10">
                  <c:v>204.3</c:v>
                </c:pt>
                <c:pt idx="11">
                  <c:v>343.8</c:v>
                </c:pt>
              </c:numCache>
            </c:numRef>
          </c:val>
          <c:smooth val="0"/>
          <c:extLst>
            <c:ext xmlns:c16="http://schemas.microsoft.com/office/drawing/2014/chart" uri="{C3380CC4-5D6E-409C-BE32-E72D297353CC}">
              <c16:uniqueId val="{00000003-2CF8-4F93-9FE2-23304D849066}"/>
            </c:ext>
          </c:extLst>
        </c:ser>
        <c:dLbls>
          <c:showLegendKey val="0"/>
          <c:showVal val="0"/>
          <c:showCatName val="0"/>
          <c:showSerName val="0"/>
          <c:showPercent val="0"/>
          <c:showBubbleSize val="0"/>
        </c:dLbls>
        <c:marker val="1"/>
        <c:smooth val="0"/>
        <c:axId val="223248592"/>
        <c:axId val="223248200"/>
      </c:lineChart>
      <c:catAx>
        <c:axId val="223248592"/>
        <c:scaling>
          <c:orientation val="minMax"/>
        </c:scaling>
        <c:delete val="0"/>
        <c:axPos val="b"/>
        <c:numFmt formatCode="General" sourceLinked="0"/>
        <c:majorTickMark val="out"/>
        <c:minorTickMark val="none"/>
        <c:tickLblPos val="nextTo"/>
        <c:txPr>
          <a:bodyPr/>
          <a:lstStyle/>
          <a:p>
            <a:pPr>
              <a:defRPr sz="800"/>
            </a:pPr>
            <a:endParaRPr lang="en-US"/>
          </a:p>
        </c:txPr>
        <c:crossAx val="223248200"/>
        <c:crosses val="autoZero"/>
        <c:auto val="1"/>
        <c:lblAlgn val="ctr"/>
        <c:lblOffset val="100"/>
        <c:noMultiLvlLbl val="0"/>
      </c:catAx>
      <c:valAx>
        <c:axId val="22324820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48592"/>
        <c:crosses val="autoZero"/>
        <c:crossBetween val="between"/>
      </c:valAx>
    </c:plotArea>
    <c:legend>
      <c:legendPos val="b"/>
      <c:layout>
        <c:manualLayout>
          <c:xMode val="edge"/>
          <c:yMode val="edge"/>
          <c:x val="7.0480108578230852E-2"/>
          <c:y val="0.89331706954179524"/>
          <c:w val="0.72437150801694339"/>
          <c:h val="8.6322733423545336E-2"/>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3737392131273593E-2"/>
          <c:y val="2.723379168716375E-2"/>
          <c:w val="0.92862437234648831"/>
          <c:h val="0.82274629686023726"/>
        </c:manualLayout>
      </c:layout>
      <c:lineChart>
        <c:grouping val="standard"/>
        <c:varyColors val="0"/>
        <c:ser>
          <c:idx val="0"/>
          <c:order val="0"/>
          <c:tx>
            <c:strRef>
              <c:f>'Further Analysis Sheet'!$T$24</c:f>
              <c:strCache>
                <c:ptCount val="1"/>
                <c:pt idx="0">
                  <c:v>Target</c:v>
                </c:pt>
              </c:strCache>
            </c:strRef>
          </c:tx>
          <c:spPr>
            <a:ln>
              <a:solidFill>
                <a:srgbClr val="00B05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Sheet'!$U$24:$AF$24</c:f>
              <c:numCache>
                <c:formatCode>General</c:formatCode>
                <c:ptCount val="12"/>
                <c:pt idx="0">
                  <c:v>622</c:v>
                </c:pt>
                <c:pt idx="1">
                  <c:v>1183</c:v>
                </c:pt>
                <c:pt idx="2">
                  <c:v>1751</c:v>
                </c:pt>
                <c:pt idx="3">
                  <c:v>2460</c:v>
                </c:pt>
                <c:pt idx="4">
                  <c:v>2993</c:v>
                </c:pt>
                <c:pt idx="5">
                  <c:v>3394</c:v>
                </c:pt>
                <c:pt idx="6">
                  <c:v>3739</c:v>
                </c:pt>
                <c:pt idx="7">
                  <c:v>4152</c:v>
                </c:pt>
                <c:pt idx="8">
                  <c:v>4353</c:v>
                </c:pt>
                <c:pt idx="9">
                  <c:v>4577</c:v>
                </c:pt>
                <c:pt idx="10">
                  <c:v>4804</c:v>
                </c:pt>
                <c:pt idx="11">
                  <c:v>5186</c:v>
                </c:pt>
              </c:numCache>
            </c:numRef>
          </c:val>
          <c:smooth val="0"/>
          <c:extLst>
            <c:ext xmlns:c16="http://schemas.microsoft.com/office/drawing/2014/chart" uri="{C3380CC4-5D6E-409C-BE32-E72D297353CC}">
              <c16:uniqueId val="{00000000-5571-4023-8EED-AD6182745EDA}"/>
            </c:ext>
          </c:extLst>
        </c:ser>
        <c:ser>
          <c:idx val="1"/>
          <c:order val="1"/>
          <c:tx>
            <c:strRef>
              <c:f>'Further Analysis Sheet'!$T$25</c:f>
              <c:strCache>
                <c:ptCount val="1"/>
                <c:pt idx="0">
                  <c:v>Target +10%</c:v>
                </c:pt>
              </c:strCache>
            </c:strRef>
          </c:tx>
          <c:spPr>
            <a:ln>
              <a:solidFill>
                <a:srgbClr val="C0000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Sheet'!$U$25:$AF$25</c:f>
              <c:numCache>
                <c:formatCode>General</c:formatCode>
                <c:ptCount val="12"/>
                <c:pt idx="0">
                  <c:v>684.2</c:v>
                </c:pt>
                <c:pt idx="1">
                  <c:v>1301.3000000000002</c:v>
                </c:pt>
                <c:pt idx="2">
                  <c:v>1926.1000000000004</c:v>
                </c:pt>
                <c:pt idx="3">
                  <c:v>2706.0000000000005</c:v>
                </c:pt>
                <c:pt idx="4">
                  <c:v>3292.3000000000006</c:v>
                </c:pt>
                <c:pt idx="5">
                  <c:v>3733.4000000000005</c:v>
                </c:pt>
                <c:pt idx="6">
                  <c:v>4112.9000000000005</c:v>
                </c:pt>
                <c:pt idx="7">
                  <c:v>4567.2000000000007</c:v>
                </c:pt>
                <c:pt idx="8">
                  <c:v>4788.3000000000011</c:v>
                </c:pt>
                <c:pt idx="9">
                  <c:v>5034.7000000000007</c:v>
                </c:pt>
                <c:pt idx="10">
                  <c:v>5284.4000000000005</c:v>
                </c:pt>
                <c:pt idx="11">
                  <c:v>5704.6</c:v>
                </c:pt>
              </c:numCache>
            </c:numRef>
          </c:val>
          <c:smooth val="0"/>
          <c:extLst>
            <c:ext xmlns:c16="http://schemas.microsoft.com/office/drawing/2014/chart" uri="{C3380CC4-5D6E-409C-BE32-E72D297353CC}">
              <c16:uniqueId val="{00000001-5571-4023-8EED-AD6182745EDA}"/>
            </c:ext>
          </c:extLst>
        </c:ser>
        <c:ser>
          <c:idx val="2"/>
          <c:order val="2"/>
          <c:tx>
            <c:strRef>
              <c:f>'Further Analysis Sheet'!$T$26</c:f>
              <c:strCache>
                <c:ptCount val="1"/>
                <c:pt idx="0">
                  <c:v>Target -10%</c:v>
                </c:pt>
              </c:strCache>
            </c:strRef>
          </c:tx>
          <c:spPr>
            <a:ln>
              <a:solidFill>
                <a:srgbClr val="7030A0"/>
              </a:solidFill>
              <a:prstDash val="sysDash"/>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Sheet'!$U$26:$AF$26</c:f>
              <c:numCache>
                <c:formatCode>General</c:formatCode>
                <c:ptCount val="12"/>
                <c:pt idx="0">
                  <c:v>559.80000000000007</c:v>
                </c:pt>
                <c:pt idx="1">
                  <c:v>1064.7</c:v>
                </c:pt>
                <c:pt idx="2">
                  <c:v>1575.9</c:v>
                </c:pt>
                <c:pt idx="3">
                  <c:v>2214</c:v>
                </c:pt>
                <c:pt idx="4">
                  <c:v>2693.7</c:v>
                </c:pt>
                <c:pt idx="5">
                  <c:v>3054.6</c:v>
                </c:pt>
                <c:pt idx="6">
                  <c:v>3365.1</c:v>
                </c:pt>
                <c:pt idx="7">
                  <c:v>3736.7999999999997</c:v>
                </c:pt>
                <c:pt idx="8">
                  <c:v>3917.7</c:v>
                </c:pt>
                <c:pt idx="9">
                  <c:v>4119.3</c:v>
                </c:pt>
                <c:pt idx="10">
                  <c:v>4323.6000000000004</c:v>
                </c:pt>
                <c:pt idx="11">
                  <c:v>4667.4000000000005</c:v>
                </c:pt>
              </c:numCache>
            </c:numRef>
          </c:val>
          <c:smooth val="0"/>
          <c:extLst>
            <c:ext xmlns:c16="http://schemas.microsoft.com/office/drawing/2014/chart" uri="{C3380CC4-5D6E-409C-BE32-E72D297353CC}">
              <c16:uniqueId val="{00000002-5571-4023-8EED-AD6182745EDA}"/>
            </c:ext>
          </c:extLst>
        </c:ser>
        <c:ser>
          <c:idx val="3"/>
          <c:order val="3"/>
          <c:tx>
            <c:strRef>
              <c:f>'Further Analysis Sheet'!$T$27</c:f>
              <c:strCache>
                <c:ptCount val="1"/>
                <c:pt idx="0">
                  <c:v>Performance</c:v>
                </c:pt>
              </c:strCache>
            </c:strRef>
          </c:tx>
          <c:spPr>
            <a:ln>
              <a:solidFill>
                <a:schemeClr val="tx1"/>
              </a:solidFill>
            </a:ln>
          </c:spPr>
          <c:marker>
            <c:symbol val="none"/>
          </c:marker>
          <c:cat>
            <c:strRef>
              <c:f>'Further Analysis Sheet'!$U$23:$AF$23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Sheet'!$U$27:$AF$27</c:f>
              <c:numCache>
                <c:formatCode>General</c:formatCode>
                <c:ptCount val="12"/>
                <c:pt idx="0">
                  <c:v>478</c:v>
                </c:pt>
                <c:pt idx="1">
                  <c:v>1005</c:v>
                </c:pt>
                <c:pt idx="2">
                  <c:v>1603</c:v>
                </c:pt>
                <c:pt idx="3">
                  <c:v>1603</c:v>
                </c:pt>
                <c:pt idx="4">
                  <c:v>1603</c:v>
                </c:pt>
                <c:pt idx="5">
                  <c:v>1603</c:v>
                </c:pt>
                <c:pt idx="6">
                  <c:v>1603</c:v>
                </c:pt>
                <c:pt idx="7">
                  <c:v>1603</c:v>
                </c:pt>
                <c:pt idx="8">
                  <c:v>1603</c:v>
                </c:pt>
                <c:pt idx="9">
                  <c:v>1603</c:v>
                </c:pt>
                <c:pt idx="10">
                  <c:v>1603</c:v>
                </c:pt>
                <c:pt idx="11">
                  <c:v>1603</c:v>
                </c:pt>
              </c:numCache>
            </c:numRef>
          </c:val>
          <c:smooth val="0"/>
          <c:extLst>
            <c:ext xmlns:c16="http://schemas.microsoft.com/office/drawing/2014/chart" uri="{C3380CC4-5D6E-409C-BE32-E72D297353CC}">
              <c16:uniqueId val="{00000003-5571-4023-8EED-AD6182745EDA}"/>
            </c:ext>
          </c:extLst>
        </c:ser>
        <c:dLbls>
          <c:showLegendKey val="0"/>
          <c:showVal val="0"/>
          <c:showCatName val="0"/>
          <c:showSerName val="0"/>
          <c:showPercent val="0"/>
          <c:showBubbleSize val="0"/>
        </c:dLbls>
        <c:smooth val="0"/>
        <c:axId val="223099840"/>
        <c:axId val="223101408"/>
      </c:lineChart>
      <c:catAx>
        <c:axId val="223099840"/>
        <c:scaling>
          <c:orientation val="minMax"/>
        </c:scaling>
        <c:delete val="0"/>
        <c:axPos val="b"/>
        <c:numFmt formatCode="General" sourceLinked="0"/>
        <c:majorTickMark val="out"/>
        <c:minorTickMark val="none"/>
        <c:tickLblPos val="nextTo"/>
        <c:txPr>
          <a:bodyPr/>
          <a:lstStyle/>
          <a:p>
            <a:pPr>
              <a:defRPr sz="800"/>
            </a:pPr>
            <a:endParaRPr lang="en-US"/>
          </a:p>
        </c:txPr>
        <c:crossAx val="223101408"/>
        <c:crosses val="autoZero"/>
        <c:auto val="1"/>
        <c:lblAlgn val="ctr"/>
        <c:lblOffset val="100"/>
        <c:noMultiLvlLbl val="0"/>
      </c:catAx>
      <c:valAx>
        <c:axId val="223101408"/>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099840"/>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131653341020234E-2"/>
          <c:y val="2.723379168716375E-2"/>
          <c:w val="0.94171610051633736"/>
          <c:h val="0.81261058664605246"/>
        </c:manualLayout>
      </c:layout>
      <c:barChart>
        <c:barDir val="col"/>
        <c:grouping val="clustered"/>
        <c:varyColors val="0"/>
        <c:ser>
          <c:idx val="3"/>
          <c:order val="3"/>
          <c:tx>
            <c:strRef>
              <c:f>'Further Analysis Sheet'!$C$32</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Sheet'!$D$28:$O$28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Sheet'!$D$32:$O$32</c:f>
              <c:numCache>
                <c:formatCode>General</c:formatCode>
                <c:ptCount val="12"/>
                <c:pt idx="0">
                  <c:v>438</c:v>
                </c:pt>
                <c:pt idx="1">
                  <c:v>422</c:v>
                </c:pt>
                <c:pt idx="2">
                  <c:v>447</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374D-4903-B407-691C781B2ED3}"/>
            </c:ext>
          </c:extLst>
        </c:ser>
        <c:dLbls>
          <c:showLegendKey val="0"/>
          <c:showVal val="0"/>
          <c:showCatName val="0"/>
          <c:showSerName val="0"/>
          <c:showPercent val="0"/>
          <c:showBubbleSize val="0"/>
        </c:dLbls>
        <c:gapWidth val="60"/>
        <c:axId val="223102192"/>
        <c:axId val="223102584"/>
      </c:barChart>
      <c:lineChart>
        <c:grouping val="standard"/>
        <c:varyColors val="0"/>
        <c:ser>
          <c:idx val="2"/>
          <c:order val="2"/>
          <c:tx>
            <c:strRef>
              <c:f>'Further Analysis Sheet'!$C$31</c:f>
              <c:strCache>
                <c:ptCount val="1"/>
                <c:pt idx="0">
                  <c:v>Previous Year</c:v>
                </c:pt>
              </c:strCache>
            </c:strRef>
          </c:tx>
          <c:spPr>
            <a:ln>
              <a:solidFill>
                <a:srgbClr val="0070C0"/>
              </a:solidFill>
            </a:ln>
          </c:spPr>
          <c:marker>
            <c:symbol val="none"/>
          </c:marker>
          <c:cat>
            <c:strRef>
              <c:f>'Further Analysis Sheet'!$D$28:$O$28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Sheet'!$D$31:$O$31</c:f>
              <c:numCache>
                <c:formatCode>General</c:formatCode>
                <c:ptCount val="12"/>
                <c:pt idx="0">
                  <c:v>404</c:v>
                </c:pt>
                <c:pt idx="1">
                  <c:v>424</c:v>
                </c:pt>
                <c:pt idx="2">
                  <c:v>415</c:v>
                </c:pt>
                <c:pt idx="3">
                  <c:v>502</c:v>
                </c:pt>
                <c:pt idx="4">
                  <c:v>456</c:v>
                </c:pt>
                <c:pt idx="5">
                  <c:v>457</c:v>
                </c:pt>
                <c:pt idx="6">
                  <c:v>429</c:v>
                </c:pt>
                <c:pt idx="7">
                  <c:v>391</c:v>
                </c:pt>
                <c:pt idx="8">
                  <c:v>660</c:v>
                </c:pt>
                <c:pt idx="9">
                  <c:v>388</c:v>
                </c:pt>
                <c:pt idx="10">
                  <c:v>403</c:v>
                </c:pt>
                <c:pt idx="11">
                  <c:v>375</c:v>
                </c:pt>
              </c:numCache>
            </c:numRef>
          </c:val>
          <c:smooth val="0"/>
          <c:extLst>
            <c:ext xmlns:c16="http://schemas.microsoft.com/office/drawing/2014/chart" uri="{C3380CC4-5D6E-409C-BE32-E72D297353CC}">
              <c16:uniqueId val="{00000001-374D-4903-B407-691C781B2ED3}"/>
            </c:ext>
          </c:extLst>
        </c:ser>
        <c:dLbls>
          <c:showLegendKey val="0"/>
          <c:showVal val="0"/>
          <c:showCatName val="0"/>
          <c:showSerName val="0"/>
          <c:showPercent val="0"/>
          <c:showBubbleSize val="0"/>
        </c:dLbls>
        <c:marker val="1"/>
        <c:smooth val="0"/>
        <c:axId val="223102192"/>
        <c:axId val="223102584"/>
        <c:extLst>
          <c:ext xmlns:c15="http://schemas.microsoft.com/office/drawing/2012/chart" uri="{02D57815-91ED-43cb-92C2-25804820EDAC}">
            <c15:filteredLineSeries>
              <c15:ser>
                <c:idx val="0"/>
                <c:order val="0"/>
                <c:tx>
                  <c:strRef>
                    <c:extLst>
                      <c:ext uri="{02D57815-91ED-43cb-92C2-25804820EDAC}">
                        <c15:formulaRef>
                          <c15:sqref>'Further Analysis Sheet'!$C$29</c15:sqref>
                        </c15:formulaRef>
                      </c:ext>
                    </c:extLst>
                    <c:strCache>
                      <c:ptCount val="1"/>
                    </c:strCache>
                  </c:strRef>
                </c:tx>
                <c:spPr>
                  <a:ln>
                    <a:solidFill>
                      <a:srgbClr val="00B050"/>
                    </a:solidFill>
                  </a:ln>
                </c:spPr>
                <c:marker>
                  <c:symbol val="none"/>
                </c:marker>
                <c:cat>
                  <c:strRef>
                    <c:extLst>
                      <c:ext uri="{02D57815-91ED-43cb-92C2-25804820EDAC}">
                        <c15:formulaRef>
                          <c15:sqref>'Further Analysis Sheet'!$D$28:$O$28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c:ext uri="{02D57815-91ED-43cb-92C2-25804820EDAC}">
                        <c15:formulaRef>
                          <c15:sqref>'Further Analysis Sheet'!$D$29:$O$29</c15:sqref>
                        </c15:formulaRef>
                      </c:ext>
                    </c:extLst>
                    <c:numCache>
                      <c:formatCode>General</c:formatCode>
                      <c:ptCount val="12"/>
                    </c:numCache>
                  </c:numRef>
                </c:val>
                <c:smooth val="0"/>
                <c:extLst>
                  <c:ext xmlns:c16="http://schemas.microsoft.com/office/drawing/2014/chart" uri="{C3380CC4-5D6E-409C-BE32-E72D297353CC}">
                    <c16:uniqueId val="{00000002-374D-4903-B407-691C781B2ED3}"/>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Sheet'!$C$30</c15:sqref>
                        </c15:formulaRef>
                      </c:ext>
                    </c:extLst>
                    <c:strCache>
                      <c:ptCount val="1"/>
                    </c:strCache>
                  </c:strRef>
                </c:tx>
                <c:marker>
                  <c:symbol val="none"/>
                </c:marker>
                <c:cat>
                  <c:strRef>
                    <c:extLst xmlns:c15="http://schemas.microsoft.com/office/drawing/2012/chart">
                      <c:ext xmlns:c15="http://schemas.microsoft.com/office/drawing/2012/chart" uri="{02D57815-91ED-43cb-92C2-25804820EDAC}">
                        <c15:formulaRef>
                          <c15:sqref>'Further Analysis Sheet'!$D$28:$O$28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xmlns:c15="http://schemas.microsoft.com/office/drawing/2012/chart">
                      <c:ext xmlns:c15="http://schemas.microsoft.com/office/drawing/2012/chart" uri="{02D57815-91ED-43cb-92C2-25804820EDAC}">
                        <c15:formulaRef>
                          <c15:sqref>'Further Analysis Sheet'!$D$30:$O$30</c15:sqref>
                        </c15:formulaRef>
                      </c:ext>
                    </c:extLst>
                    <c:numCache>
                      <c:formatCode>General</c:formatCode>
                      <c:ptCount val="12"/>
                    </c:numCache>
                  </c:numRef>
                </c:val>
                <c:smooth val="0"/>
                <c:extLst xmlns:c15="http://schemas.microsoft.com/office/drawing/2012/chart">
                  <c:ext xmlns:c16="http://schemas.microsoft.com/office/drawing/2014/chart" uri="{C3380CC4-5D6E-409C-BE32-E72D297353CC}">
                    <c16:uniqueId val="{00000003-374D-4903-B407-691C781B2ED3}"/>
                  </c:ext>
                </c:extLst>
              </c15:ser>
            </c15:filteredLineSeries>
          </c:ext>
        </c:extLst>
      </c:lineChart>
      <c:catAx>
        <c:axId val="223102192"/>
        <c:scaling>
          <c:orientation val="minMax"/>
        </c:scaling>
        <c:delete val="0"/>
        <c:axPos val="b"/>
        <c:numFmt formatCode="General" sourceLinked="0"/>
        <c:majorTickMark val="out"/>
        <c:minorTickMark val="none"/>
        <c:tickLblPos val="nextTo"/>
        <c:txPr>
          <a:bodyPr/>
          <a:lstStyle/>
          <a:p>
            <a:pPr>
              <a:defRPr sz="800"/>
            </a:pPr>
            <a:endParaRPr lang="en-US"/>
          </a:p>
        </c:txPr>
        <c:crossAx val="223102584"/>
        <c:crosses val="autoZero"/>
        <c:auto val="1"/>
        <c:lblAlgn val="ctr"/>
        <c:lblOffset val="100"/>
        <c:noMultiLvlLbl val="0"/>
      </c:catAx>
      <c:valAx>
        <c:axId val="22310258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10219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148849568862316E-2"/>
          <c:y val="3.7280095574972472E-2"/>
          <c:w val="0.93985115043113765"/>
          <c:h val="0.81282961262464182"/>
        </c:manualLayout>
      </c:layout>
      <c:lineChart>
        <c:grouping val="standard"/>
        <c:varyColors val="0"/>
        <c:ser>
          <c:idx val="2"/>
          <c:order val="2"/>
          <c:tx>
            <c:strRef>
              <c:f>'Further Analysis Sheet'!$T$31</c:f>
              <c:strCache>
                <c:ptCount val="1"/>
                <c:pt idx="0">
                  <c:v>Previous Year</c:v>
                </c:pt>
              </c:strCache>
            </c:strRef>
          </c:tx>
          <c:spPr>
            <a:ln>
              <a:solidFill>
                <a:srgbClr val="0070C0"/>
              </a:solidFill>
              <a:prstDash val="sysDash"/>
            </a:ln>
          </c:spPr>
          <c:marker>
            <c:symbol val="none"/>
          </c:marker>
          <c:cat>
            <c:strRef>
              <c:f>'Further Analysis Sheet'!$U$28:$AF$28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Sheet'!$U$31:$AF$31</c:f>
              <c:numCache>
                <c:formatCode>General</c:formatCode>
                <c:ptCount val="12"/>
                <c:pt idx="0">
                  <c:v>404</c:v>
                </c:pt>
                <c:pt idx="1">
                  <c:v>828</c:v>
                </c:pt>
                <c:pt idx="2">
                  <c:v>1243</c:v>
                </c:pt>
                <c:pt idx="3">
                  <c:v>1745</c:v>
                </c:pt>
                <c:pt idx="4">
                  <c:v>2201</c:v>
                </c:pt>
                <c:pt idx="5">
                  <c:v>2658</c:v>
                </c:pt>
                <c:pt idx="6">
                  <c:v>3087</c:v>
                </c:pt>
                <c:pt idx="7">
                  <c:v>3478</c:v>
                </c:pt>
                <c:pt idx="8">
                  <c:v>4138</c:v>
                </c:pt>
                <c:pt idx="9">
                  <c:v>4526</c:v>
                </c:pt>
                <c:pt idx="10">
                  <c:v>4929</c:v>
                </c:pt>
                <c:pt idx="11">
                  <c:v>5304</c:v>
                </c:pt>
              </c:numCache>
            </c:numRef>
          </c:val>
          <c:smooth val="0"/>
          <c:extLst>
            <c:ext xmlns:c16="http://schemas.microsoft.com/office/drawing/2014/chart" uri="{C3380CC4-5D6E-409C-BE32-E72D297353CC}">
              <c16:uniqueId val="{00000000-9B05-4306-9535-5505647D61D9}"/>
            </c:ext>
          </c:extLst>
        </c:ser>
        <c:ser>
          <c:idx val="3"/>
          <c:order val="3"/>
          <c:tx>
            <c:strRef>
              <c:f>'Further Analysis Sheet'!$T$32</c:f>
              <c:strCache>
                <c:ptCount val="1"/>
                <c:pt idx="0">
                  <c:v>Performance</c:v>
                </c:pt>
              </c:strCache>
            </c:strRef>
          </c:tx>
          <c:spPr>
            <a:ln>
              <a:solidFill>
                <a:schemeClr val="tx1"/>
              </a:solidFill>
            </a:ln>
          </c:spPr>
          <c:marker>
            <c:symbol val="none"/>
          </c:marker>
          <c:cat>
            <c:strRef>
              <c:f>'Further Analysis Sheet'!$U$28:$AF$28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Sheet'!$U$32:$AF$32</c:f>
              <c:numCache>
                <c:formatCode>General</c:formatCode>
                <c:ptCount val="12"/>
                <c:pt idx="0">
                  <c:v>438</c:v>
                </c:pt>
                <c:pt idx="1">
                  <c:v>860</c:v>
                </c:pt>
                <c:pt idx="2">
                  <c:v>1307</c:v>
                </c:pt>
                <c:pt idx="3">
                  <c:v>1307</c:v>
                </c:pt>
                <c:pt idx="4">
                  <c:v>1307</c:v>
                </c:pt>
                <c:pt idx="5">
                  <c:v>1307</c:v>
                </c:pt>
                <c:pt idx="6">
                  <c:v>1307</c:v>
                </c:pt>
                <c:pt idx="7">
                  <c:v>1307</c:v>
                </c:pt>
                <c:pt idx="8">
                  <c:v>1307</c:v>
                </c:pt>
                <c:pt idx="9">
                  <c:v>1307</c:v>
                </c:pt>
                <c:pt idx="10">
                  <c:v>1307</c:v>
                </c:pt>
                <c:pt idx="11">
                  <c:v>1307</c:v>
                </c:pt>
              </c:numCache>
            </c:numRef>
          </c:val>
          <c:smooth val="0"/>
          <c:extLst>
            <c:ext xmlns:c16="http://schemas.microsoft.com/office/drawing/2014/chart" uri="{C3380CC4-5D6E-409C-BE32-E72D297353CC}">
              <c16:uniqueId val="{00000001-9B05-4306-9535-5505647D61D9}"/>
            </c:ext>
          </c:extLst>
        </c:ser>
        <c:dLbls>
          <c:showLegendKey val="0"/>
          <c:showVal val="0"/>
          <c:showCatName val="0"/>
          <c:showSerName val="0"/>
          <c:showPercent val="0"/>
          <c:showBubbleSize val="0"/>
        </c:dLbls>
        <c:smooth val="0"/>
        <c:axId val="223427664"/>
        <c:axId val="223428056"/>
        <c:extLst>
          <c:ext xmlns:c15="http://schemas.microsoft.com/office/drawing/2012/chart" uri="{02D57815-91ED-43cb-92C2-25804820EDAC}">
            <c15:filteredLineSeries>
              <c15:ser>
                <c:idx val="0"/>
                <c:order val="0"/>
                <c:tx>
                  <c:strRef>
                    <c:extLst>
                      <c:ext uri="{02D57815-91ED-43cb-92C2-25804820EDAC}">
                        <c15:formulaRef>
                          <c15:sqref>'Further Analysis Sheet'!$T$29</c15:sqref>
                        </c15:formulaRef>
                      </c:ext>
                    </c:extLst>
                    <c:strCache>
                      <c:ptCount val="1"/>
                    </c:strCache>
                  </c:strRef>
                </c:tx>
                <c:spPr>
                  <a:ln>
                    <a:solidFill>
                      <a:srgbClr val="00B050"/>
                    </a:solidFill>
                    <a:prstDash val="sysDash"/>
                  </a:ln>
                </c:spPr>
                <c:marker>
                  <c:symbol val="none"/>
                </c:marker>
                <c:cat>
                  <c:strRef>
                    <c:extLst>
                      <c:ext uri="{02D57815-91ED-43cb-92C2-25804820EDAC}">
                        <c15:formulaRef>
                          <c15:sqref>'Further Analysis Sheet'!$U$28:$AF$28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c:ext uri="{02D57815-91ED-43cb-92C2-25804820EDAC}">
                        <c15:formulaRef>
                          <c15:sqref>'Further Analysis Sheet'!$U$29:$AF$29</c15:sqref>
                        </c15:formulaRef>
                      </c:ext>
                    </c:extLst>
                    <c:numCache>
                      <c:formatCode>General</c:formatCode>
                      <c:ptCount val="12"/>
                    </c:numCache>
                  </c:numRef>
                </c:val>
                <c:smooth val="0"/>
                <c:extLst>
                  <c:ext xmlns:c16="http://schemas.microsoft.com/office/drawing/2014/chart" uri="{C3380CC4-5D6E-409C-BE32-E72D297353CC}">
                    <c16:uniqueId val="{00000002-9B05-4306-9535-5505647D61D9}"/>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Sheet'!$T$30</c15:sqref>
                        </c15:formulaRef>
                      </c:ext>
                    </c:extLst>
                    <c:strCache>
                      <c:ptCount val="1"/>
                    </c:strCache>
                  </c:strRef>
                </c:tx>
                <c:spPr>
                  <a:ln>
                    <a:prstDash val="sysDash"/>
                  </a:ln>
                </c:spPr>
                <c:marker>
                  <c:symbol val="none"/>
                </c:marker>
                <c:cat>
                  <c:strRef>
                    <c:extLst xmlns:c15="http://schemas.microsoft.com/office/drawing/2012/chart">
                      <c:ext xmlns:c15="http://schemas.microsoft.com/office/drawing/2012/chart" uri="{02D57815-91ED-43cb-92C2-25804820EDAC}">
                        <c15:formulaRef>
                          <c15:sqref>'Further Analysis Sheet'!$U$28:$AF$28</c15:sqref>
                        </c15:formulaRef>
                      </c:ext>
                    </c:extLst>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extLst xmlns:c15="http://schemas.microsoft.com/office/drawing/2012/chart">
                      <c:ext xmlns:c15="http://schemas.microsoft.com/office/drawing/2012/chart" uri="{02D57815-91ED-43cb-92C2-25804820EDAC}">
                        <c15:formulaRef>
                          <c15:sqref>'Further Analysis Sheet'!$U$30:$AF$30</c15:sqref>
                        </c15:formulaRef>
                      </c:ext>
                    </c:extLst>
                    <c:numCache>
                      <c:formatCode>General</c:formatCode>
                      <c:ptCount val="12"/>
                    </c:numCache>
                  </c:numRef>
                </c:val>
                <c:smooth val="0"/>
                <c:extLst xmlns:c15="http://schemas.microsoft.com/office/drawing/2012/chart">
                  <c:ext xmlns:c16="http://schemas.microsoft.com/office/drawing/2014/chart" uri="{C3380CC4-5D6E-409C-BE32-E72D297353CC}">
                    <c16:uniqueId val="{00000003-9B05-4306-9535-5505647D61D9}"/>
                  </c:ext>
                </c:extLst>
              </c15:ser>
            </c15:filteredLineSeries>
          </c:ext>
        </c:extLst>
      </c:lineChart>
      <c:catAx>
        <c:axId val="223427664"/>
        <c:scaling>
          <c:orientation val="minMax"/>
        </c:scaling>
        <c:delete val="0"/>
        <c:axPos val="b"/>
        <c:numFmt formatCode="General" sourceLinked="0"/>
        <c:majorTickMark val="out"/>
        <c:minorTickMark val="none"/>
        <c:tickLblPos val="nextTo"/>
        <c:txPr>
          <a:bodyPr/>
          <a:lstStyle/>
          <a:p>
            <a:pPr>
              <a:defRPr sz="800"/>
            </a:pPr>
            <a:endParaRPr lang="en-US"/>
          </a:p>
        </c:txPr>
        <c:crossAx val="223428056"/>
        <c:crosses val="autoZero"/>
        <c:auto val="1"/>
        <c:lblAlgn val="ctr"/>
        <c:lblOffset val="100"/>
        <c:noMultiLvlLbl val="0"/>
      </c:catAx>
      <c:valAx>
        <c:axId val="22342805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427664"/>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272522533912551E-2"/>
          <c:y val="2.7360287974263472E-2"/>
          <c:w val="0.94171610051633736"/>
          <c:h val="0.81261058664605246"/>
        </c:manualLayout>
      </c:layout>
      <c:barChart>
        <c:barDir val="col"/>
        <c:grouping val="clustered"/>
        <c:varyColors val="0"/>
        <c:ser>
          <c:idx val="3"/>
          <c:order val="3"/>
          <c:tx>
            <c:strRef>
              <c:f>'Further Analysis Sheet'!$C$37</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Sheet'!$D$37:$O$37</c:f>
              <c:numCache>
                <c:formatCode>General</c:formatCode>
                <c:ptCount val="12"/>
                <c:pt idx="0">
                  <c:v>514</c:v>
                </c:pt>
                <c:pt idx="1">
                  <c:v>549</c:v>
                </c:pt>
                <c:pt idx="2">
                  <c:v>543</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8A9D-4733-8CF7-8EF4AC9814CB}"/>
            </c:ext>
          </c:extLst>
        </c:ser>
        <c:dLbls>
          <c:showLegendKey val="0"/>
          <c:showVal val="0"/>
          <c:showCatName val="0"/>
          <c:showSerName val="0"/>
          <c:showPercent val="0"/>
          <c:showBubbleSize val="0"/>
        </c:dLbls>
        <c:gapWidth val="60"/>
        <c:axId val="223428840"/>
        <c:axId val="223429232"/>
      </c:barChart>
      <c:lineChart>
        <c:grouping val="standard"/>
        <c:varyColors val="0"/>
        <c:ser>
          <c:idx val="0"/>
          <c:order val="0"/>
          <c:tx>
            <c:strRef>
              <c:f>'Further Analysis Sheet'!$C$34</c:f>
              <c:strCache>
                <c:ptCount val="1"/>
                <c:pt idx="0">
                  <c:v>Target</c:v>
                </c:pt>
              </c:strCache>
            </c:strRef>
          </c:tx>
          <c:spPr>
            <a:ln>
              <a:solidFill>
                <a:srgbClr val="00B05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Sheet'!$D$34:$O$34</c:f>
              <c:numCache>
                <c:formatCode>General</c:formatCode>
                <c:ptCount val="12"/>
                <c:pt idx="0">
                  <c:v>527</c:v>
                </c:pt>
                <c:pt idx="1">
                  <c:v>516</c:v>
                </c:pt>
                <c:pt idx="2">
                  <c:v>501</c:v>
                </c:pt>
                <c:pt idx="3">
                  <c:v>575</c:v>
                </c:pt>
                <c:pt idx="4">
                  <c:v>581</c:v>
                </c:pt>
                <c:pt idx="5">
                  <c:v>545</c:v>
                </c:pt>
                <c:pt idx="6">
                  <c:v>555</c:v>
                </c:pt>
                <c:pt idx="7">
                  <c:v>535</c:v>
                </c:pt>
                <c:pt idx="8">
                  <c:v>511</c:v>
                </c:pt>
                <c:pt idx="9">
                  <c:v>467</c:v>
                </c:pt>
                <c:pt idx="10">
                  <c:v>448</c:v>
                </c:pt>
                <c:pt idx="11">
                  <c:v>492</c:v>
                </c:pt>
              </c:numCache>
            </c:numRef>
          </c:val>
          <c:smooth val="0"/>
          <c:extLst>
            <c:ext xmlns:c16="http://schemas.microsoft.com/office/drawing/2014/chart" uri="{C3380CC4-5D6E-409C-BE32-E72D297353CC}">
              <c16:uniqueId val="{00000001-8A9D-4733-8CF7-8EF4AC9814CB}"/>
            </c:ext>
          </c:extLst>
        </c:ser>
        <c:ser>
          <c:idx val="1"/>
          <c:order val="1"/>
          <c:tx>
            <c:strRef>
              <c:f>'Further Analysis Sheet'!$C$35</c:f>
              <c:strCache>
                <c:ptCount val="1"/>
                <c:pt idx="0">
                  <c:v>Target +10%</c:v>
                </c:pt>
              </c:strCache>
            </c:strRef>
          </c:tx>
          <c:spPr>
            <a:ln>
              <a:solidFill>
                <a:srgbClr val="C0000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Sheet'!$D$35:$O$35</c:f>
              <c:numCache>
                <c:formatCode>General</c:formatCode>
                <c:ptCount val="12"/>
                <c:pt idx="0">
                  <c:v>579.70000000000005</c:v>
                </c:pt>
                <c:pt idx="1">
                  <c:v>567.6</c:v>
                </c:pt>
                <c:pt idx="2">
                  <c:v>551.1</c:v>
                </c:pt>
                <c:pt idx="3">
                  <c:v>632.5</c:v>
                </c:pt>
                <c:pt idx="4">
                  <c:v>639.1</c:v>
                </c:pt>
                <c:pt idx="5">
                  <c:v>599.5</c:v>
                </c:pt>
                <c:pt idx="6">
                  <c:v>610.5</c:v>
                </c:pt>
                <c:pt idx="7">
                  <c:v>588.5</c:v>
                </c:pt>
                <c:pt idx="8">
                  <c:v>562.1</c:v>
                </c:pt>
                <c:pt idx="9">
                  <c:v>513.70000000000005</c:v>
                </c:pt>
                <c:pt idx="10">
                  <c:v>492.80000000000007</c:v>
                </c:pt>
                <c:pt idx="11">
                  <c:v>541.20000000000005</c:v>
                </c:pt>
              </c:numCache>
            </c:numRef>
          </c:val>
          <c:smooth val="0"/>
          <c:extLst>
            <c:ext xmlns:c16="http://schemas.microsoft.com/office/drawing/2014/chart" uri="{C3380CC4-5D6E-409C-BE32-E72D297353CC}">
              <c16:uniqueId val="{00000002-8A9D-4733-8CF7-8EF4AC9814CB}"/>
            </c:ext>
          </c:extLst>
        </c:ser>
        <c:ser>
          <c:idx val="2"/>
          <c:order val="2"/>
          <c:tx>
            <c:strRef>
              <c:f>'Further Analysis Sheet'!$C$36</c:f>
              <c:strCache>
                <c:ptCount val="1"/>
                <c:pt idx="0">
                  <c:v>Target -10%</c:v>
                </c:pt>
              </c:strCache>
            </c:strRef>
          </c:tx>
          <c:spPr>
            <a:ln>
              <a:solidFill>
                <a:srgbClr val="7030A0"/>
              </a:solidFill>
            </a:ln>
          </c:spPr>
          <c:marker>
            <c:symbol val="none"/>
          </c:marker>
          <c:cat>
            <c:strRef>
              <c:f>'Further Analysis Sheet'!$D$33:$O$33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Sheet'!$D$36:$O$36</c:f>
              <c:numCache>
                <c:formatCode>General</c:formatCode>
                <c:ptCount val="12"/>
                <c:pt idx="0">
                  <c:v>474.3</c:v>
                </c:pt>
                <c:pt idx="1">
                  <c:v>464.40000000000003</c:v>
                </c:pt>
                <c:pt idx="2">
                  <c:v>450.90000000000003</c:v>
                </c:pt>
                <c:pt idx="3">
                  <c:v>517.5</c:v>
                </c:pt>
                <c:pt idx="4">
                  <c:v>522.9</c:v>
                </c:pt>
                <c:pt idx="5">
                  <c:v>490.5</c:v>
                </c:pt>
                <c:pt idx="6">
                  <c:v>499.5</c:v>
                </c:pt>
                <c:pt idx="7">
                  <c:v>481.5</c:v>
                </c:pt>
                <c:pt idx="8">
                  <c:v>459.90000000000003</c:v>
                </c:pt>
                <c:pt idx="9">
                  <c:v>420.3</c:v>
                </c:pt>
                <c:pt idx="10">
                  <c:v>403.2</c:v>
                </c:pt>
                <c:pt idx="11">
                  <c:v>442.8</c:v>
                </c:pt>
              </c:numCache>
            </c:numRef>
          </c:val>
          <c:smooth val="0"/>
          <c:extLst>
            <c:ext xmlns:c16="http://schemas.microsoft.com/office/drawing/2014/chart" uri="{C3380CC4-5D6E-409C-BE32-E72D297353CC}">
              <c16:uniqueId val="{00000003-8A9D-4733-8CF7-8EF4AC9814CB}"/>
            </c:ext>
          </c:extLst>
        </c:ser>
        <c:dLbls>
          <c:showLegendKey val="0"/>
          <c:showVal val="0"/>
          <c:showCatName val="0"/>
          <c:showSerName val="0"/>
          <c:showPercent val="0"/>
          <c:showBubbleSize val="0"/>
        </c:dLbls>
        <c:marker val="1"/>
        <c:smooth val="0"/>
        <c:axId val="223428840"/>
        <c:axId val="223429232"/>
      </c:lineChart>
      <c:catAx>
        <c:axId val="223428840"/>
        <c:scaling>
          <c:orientation val="minMax"/>
        </c:scaling>
        <c:delete val="0"/>
        <c:axPos val="b"/>
        <c:numFmt formatCode="General" sourceLinked="0"/>
        <c:majorTickMark val="out"/>
        <c:minorTickMark val="none"/>
        <c:tickLblPos val="nextTo"/>
        <c:txPr>
          <a:bodyPr/>
          <a:lstStyle/>
          <a:p>
            <a:pPr>
              <a:defRPr sz="800"/>
            </a:pPr>
            <a:endParaRPr lang="en-US"/>
          </a:p>
        </c:txPr>
        <c:crossAx val="223429232"/>
        <c:crosses val="autoZero"/>
        <c:auto val="1"/>
        <c:lblAlgn val="ctr"/>
        <c:lblOffset val="100"/>
        <c:noMultiLvlLbl val="0"/>
      </c:catAx>
      <c:valAx>
        <c:axId val="223429232"/>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4288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771511942510072E-2"/>
          <c:y val="2.723379168716375E-2"/>
          <c:w val="0.91602567020162939"/>
          <c:h val="0.81261058664605246"/>
        </c:manualLayout>
      </c:layout>
      <c:barChart>
        <c:barDir val="col"/>
        <c:grouping val="clustered"/>
        <c:varyColors val="0"/>
        <c:ser>
          <c:idx val="3"/>
          <c:order val="3"/>
          <c:tx>
            <c:strRef>
              <c:f>'Further Analysis Sheet'!$C$42</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Sheet'!$D$42:$O$42</c:f>
              <c:numCache>
                <c:formatCode>0.0%</c:formatCode>
                <c:ptCount val="12"/>
                <c:pt idx="0">
                  <c:v>0.95081967213114749</c:v>
                </c:pt>
                <c:pt idx="1">
                  <c:v>0.95</c:v>
                </c:pt>
                <c:pt idx="2">
                  <c:v>0.96815286624203822</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A013-45CC-A613-EF26B4461FB9}"/>
            </c:ext>
          </c:extLst>
        </c:ser>
        <c:dLbls>
          <c:showLegendKey val="0"/>
          <c:showVal val="0"/>
          <c:showCatName val="0"/>
          <c:showSerName val="0"/>
          <c:showPercent val="0"/>
          <c:showBubbleSize val="0"/>
        </c:dLbls>
        <c:gapWidth val="60"/>
        <c:axId val="223431192"/>
        <c:axId val="223690328"/>
      </c:barChart>
      <c:lineChart>
        <c:grouping val="standard"/>
        <c:varyColors val="0"/>
        <c:ser>
          <c:idx val="0"/>
          <c:order val="0"/>
          <c:tx>
            <c:strRef>
              <c:f>'Further Analysis Sheet'!$C$39</c:f>
              <c:strCache>
                <c:ptCount val="1"/>
                <c:pt idx="0">
                  <c:v>Target</c:v>
                </c:pt>
              </c:strCache>
            </c:strRef>
          </c:tx>
          <c:spPr>
            <a:ln>
              <a:solidFill>
                <a:srgbClr val="00B05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Sheet'!$D$39:$O$39</c:f>
              <c:numCache>
                <c:formatCode>0.00%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A013-45CC-A613-EF26B4461FB9}"/>
            </c:ext>
          </c:extLst>
        </c:ser>
        <c:ser>
          <c:idx val="1"/>
          <c:order val="1"/>
          <c:tx>
            <c:strRef>
              <c:f>'Further Analysis Sheet'!$C$40</c:f>
              <c:strCache>
                <c:ptCount val="1"/>
                <c:pt idx="0">
                  <c:v>Target +10%</c:v>
                </c:pt>
              </c:strCache>
            </c:strRef>
          </c:tx>
          <c:spPr>
            <a:ln>
              <a:solidFill>
                <a:srgbClr val="7030A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Sheet'!$D$40:$O$40</c:f>
              <c:numCache>
                <c:formatCode>0.0%</c:formatCode>
                <c:ptCount val="12"/>
                <c:pt idx="0">
                  <c:v>0.9900000000000001</c:v>
                </c:pt>
                <c:pt idx="1">
                  <c:v>0.9900000000000001</c:v>
                </c:pt>
                <c:pt idx="2">
                  <c:v>0.9900000000000001</c:v>
                </c:pt>
                <c:pt idx="3">
                  <c:v>0.9900000000000001</c:v>
                </c:pt>
                <c:pt idx="4">
                  <c:v>0.9900000000000001</c:v>
                </c:pt>
                <c:pt idx="5">
                  <c:v>0.9900000000000001</c:v>
                </c:pt>
                <c:pt idx="6">
                  <c:v>0.9900000000000001</c:v>
                </c:pt>
                <c:pt idx="7">
                  <c:v>0.9900000000000001</c:v>
                </c:pt>
                <c:pt idx="8">
                  <c:v>0.9900000000000001</c:v>
                </c:pt>
                <c:pt idx="9">
                  <c:v>0.9900000000000001</c:v>
                </c:pt>
                <c:pt idx="10">
                  <c:v>0.9900000000000001</c:v>
                </c:pt>
                <c:pt idx="11">
                  <c:v>0.9900000000000001</c:v>
                </c:pt>
              </c:numCache>
            </c:numRef>
          </c:val>
          <c:smooth val="0"/>
          <c:extLst>
            <c:ext xmlns:c16="http://schemas.microsoft.com/office/drawing/2014/chart" uri="{C3380CC4-5D6E-409C-BE32-E72D297353CC}">
              <c16:uniqueId val="{00000002-A013-45CC-A613-EF26B4461FB9}"/>
            </c:ext>
          </c:extLst>
        </c:ser>
        <c:ser>
          <c:idx val="2"/>
          <c:order val="2"/>
          <c:tx>
            <c:strRef>
              <c:f>'Further Analysis Sheet'!$C$41</c:f>
              <c:strCache>
                <c:ptCount val="1"/>
                <c:pt idx="0">
                  <c:v>Target -10%</c:v>
                </c:pt>
              </c:strCache>
            </c:strRef>
          </c:tx>
          <c:spPr>
            <a:ln>
              <a:solidFill>
                <a:srgbClr val="C00000"/>
              </a:solidFill>
            </a:ln>
          </c:spPr>
          <c:marker>
            <c:symbol val="none"/>
          </c:marker>
          <c:cat>
            <c:strRef>
              <c:f>'Further Analysis Sheet'!$D$38:$O$38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Sheet'!$D$41:$O$41</c:f>
              <c:numCache>
                <c:formatCode>0.0%</c:formatCode>
                <c:ptCount val="12"/>
                <c:pt idx="0">
                  <c:v>0.81</c:v>
                </c:pt>
                <c:pt idx="1">
                  <c:v>0.81</c:v>
                </c:pt>
                <c:pt idx="2">
                  <c:v>0.81</c:v>
                </c:pt>
                <c:pt idx="3">
                  <c:v>0.81</c:v>
                </c:pt>
                <c:pt idx="4">
                  <c:v>0.81</c:v>
                </c:pt>
                <c:pt idx="5">
                  <c:v>0.81</c:v>
                </c:pt>
                <c:pt idx="6">
                  <c:v>0.81</c:v>
                </c:pt>
                <c:pt idx="7">
                  <c:v>0.81</c:v>
                </c:pt>
                <c:pt idx="8">
                  <c:v>0.81</c:v>
                </c:pt>
                <c:pt idx="9">
                  <c:v>0.81</c:v>
                </c:pt>
                <c:pt idx="10">
                  <c:v>0.81</c:v>
                </c:pt>
                <c:pt idx="11">
                  <c:v>0.81</c:v>
                </c:pt>
              </c:numCache>
            </c:numRef>
          </c:val>
          <c:smooth val="0"/>
          <c:extLst>
            <c:ext xmlns:c16="http://schemas.microsoft.com/office/drawing/2014/chart" uri="{C3380CC4-5D6E-409C-BE32-E72D297353CC}">
              <c16:uniqueId val="{00000003-A013-45CC-A613-EF26B4461FB9}"/>
            </c:ext>
          </c:extLst>
        </c:ser>
        <c:dLbls>
          <c:showLegendKey val="0"/>
          <c:showVal val="0"/>
          <c:showCatName val="0"/>
          <c:showSerName val="0"/>
          <c:showPercent val="0"/>
          <c:showBubbleSize val="0"/>
        </c:dLbls>
        <c:marker val="1"/>
        <c:smooth val="0"/>
        <c:axId val="223431192"/>
        <c:axId val="223690328"/>
      </c:lineChart>
      <c:catAx>
        <c:axId val="223431192"/>
        <c:scaling>
          <c:orientation val="minMax"/>
        </c:scaling>
        <c:delete val="0"/>
        <c:axPos val="b"/>
        <c:numFmt formatCode="General" sourceLinked="0"/>
        <c:majorTickMark val="out"/>
        <c:minorTickMark val="none"/>
        <c:tickLblPos val="nextTo"/>
        <c:txPr>
          <a:bodyPr/>
          <a:lstStyle/>
          <a:p>
            <a:pPr>
              <a:defRPr sz="800"/>
            </a:pPr>
            <a:endParaRPr lang="en-US"/>
          </a:p>
        </c:txPr>
        <c:crossAx val="223690328"/>
        <c:crosses val="autoZero"/>
        <c:auto val="1"/>
        <c:lblAlgn val="ctr"/>
        <c:lblOffset val="100"/>
        <c:noMultiLvlLbl val="0"/>
      </c:catAx>
      <c:valAx>
        <c:axId val="223690328"/>
        <c:scaling>
          <c:orientation val="minMax"/>
          <c:max val="1"/>
        </c:scaling>
        <c:delete val="0"/>
        <c:axPos val="l"/>
        <c:majorGridlines>
          <c:spPr>
            <a:ln>
              <a:prstDash val="dash"/>
            </a:ln>
          </c:spPr>
        </c:majorGridlines>
        <c:numFmt formatCode="0.0%" sourceLinked="1"/>
        <c:majorTickMark val="out"/>
        <c:minorTickMark val="none"/>
        <c:tickLblPos val="nextTo"/>
        <c:txPr>
          <a:bodyPr/>
          <a:lstStyle/>
          <a:p>
            <a:pPr>
              <a:defRPr sz="900"/>
            </a:pPr>
            <a:endParaRPr lang="en-US"/>
          </a:p>
        </c:txPr>
        <c:crossAx val="223431192"/>
        <c:crosses val="autoZero"/>
        <c:crossBetween val="between"/>
      </c:valAx>
    </c:plotArea>
    <c:legend>
      <c:legendPos val="b"/>
      <c:layout>
        <c:manualLayout>
          <c:xMode val="edge"/>
          <c:yMode val="edge"/>
          <c:x val="7.0480108578230852E-2"/>
          <c:y val="0.89331706954179524"/>
          <c:w val="0.85903957738972569"/>
          <c:h val="0.10109243553212928"/>
        </c:manualLayout>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24678490333217E-2"/>
          <c:y val="2.723379168716375E-2"/>
          <c:w val="0.94075321509666787"/>
          <c:h val="0.81261058664605246"/>
        </c:manualLayout>
      </c:layout>
      <c:barChart>
        <c:barDir val="col"/>
        <c:grouping val="clustered"/>
        <c:varyColors val="0"/>
        <c:ser>
          <c:idx val="3"/>
          <c:order val="3"/>
          <c:tx>
            <c:strRef>
              <c:f>'Further Analysis Sheet'!$C$47</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Sheet'!$D$47:$O$47</c:f>
              <c:numCache>
                <c:formatCode>0.0%</c:formatCode>
                <c:ptCount val="12"/>
                <c:pt idx="0">
                  <c:v>4.0599999999999997E-2</c:v>
                </c:pt>
                <c:pt idx="1">
                  <c:v>4.4299999999999999E-2</c:v>
                </c:pt>
                <c:pt idx="2">
                  <c:v>3.85E-2</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685D-4C84-8167-DCDBE3A6862E}"/>
            </c:ext>
          </c:extLst>
        </c:ser>
        <c:dLbls>
          <c:showLegendKey val="0"/>
          <c:showVal val="0"/>
          <c:showCatName val="0"/>
          <c:showSerName val="0"/>
          <c:showPercent val="0"/>
          <c:showBubbleSize val="0"/>
        </c:dLbls>
        <c:gapWidth val="60"/>
        <c:axId val="223691112"/>
        <c:axId val="223691504"/>
      </c:barChart>
      <c:lineChart>
        <c:grouping val="standard"/>
        <c:varyColors val="0"/>
        <c:ser>
          <c:idx val="0"/>
          <c:order val="0"/>
          <c:tx>
            <c:strRef>
              <c:f>'Further Analysis Sheet'!$C$44</c:f>
              <c:strCache>
                <c:ptCount val="1"/>
                <c:pt idx="0">
                  <c:v>Target</c:v>
                </c:pt>
              </c:strCache>
            </c:strRef>
          </c:tx>
          <c:spPr>
            <a:ln>
              <a:solidFill>
                <a:srgbClr val="00B05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Sheet'!$D$44:$O$44</c:f>
              <c:numCache>
                <c:formatCode>0.0%</c:formatCode>
                <c:ptCount val="12"/>
                <c:pt idx="0">
                  <c:v>0.04</c:v>
                </c:pt>
                <c:pt idx="1">
                  <c:v>0.04</c:v>
                </c:pt>
                <c:pt idx="2">
                  <c:v>0.04</c:v>
                </c:pt>
                <c:pt idx="3">
                  <c:v>0.04</c:v>
                </c:pt>
                <c:pt idx="4">
                  <c:v>0.04</c:v>
                </c:pt>
                <c:pt idx="5">
                  <c:v>0.04</c:v>
                </c:pt>
                <c:pt idx="6">
                  <c:v>0.04</c:v>
                </c:pt>
                <c:pt idx="7">
                  <c:v>0.04</c:v>
                </c:pt>
                <c:pt idx="8">
                  <c:v>0.04</c:v>
                </c:pt>
                <c:pt idx="9">
                  <c:v>0.04</c:v>
                </c:pt>
                <c:pt idx="10">
                  <c:v>0.04</c:v>
                </c:pt>
                <c:pt idx="11">
                  <c:v>0.04</c:v>
                </c:pt>
              </c:numCache>
            </c:numRef>
          </c:val>
          <c:smooth val="0"/>
          <c:extLst>
            <c:ext xmlns:c16="http://schemas.microsoft.com/office/drawing/2014/chart" uri="{C3380CC4-5D6E-409C-BE32-E72D297353CC}">
              <c16:uniqueId val="{00000001-685D-4C84-8167-DCDBE3A6862E}"/>
            </c:ext>
          </c:extLst>
        </c:ser>
        <c:ser>
          <c:idx val="1"/>
          <c:order val="1"/>
          <c:tx>
            <c:strRef>
              <c:f>'Further Analysis Sheet'!$C$45</c:f>
              <c:strCache>
                <c:ptCount val="1"/>
                <c:pt idx="0">
                  <c:v>Target +10%</c:v>
                </c:pt>
              </c:strCache>
            </c:strRef>
          </c:tx>
          <c:spPr>
            <a:ln>
              <a:solidFill>
                <a:srgbClr val="C0000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Sheet'!$D$45:$O$45</c:f>
              <c:numCache>
                <c:formatCode>0.0%</c:formatCode>
                <c:ptCount val="12"/>
                <c:pt idx="0">
                  <c:v>4.4000000000000004E-2</c:v>
                </c:pt>
                <c:pt idx="1">
                  <c:v>4.4000000000000004E-2</c:v>
                </c:pt>
                <c:pt idx="2">
                  <c:v>4.4000000000000004E-2</c:v>
                </c:pt>
                <c:pt idx="3">
                  <c:v>4.4000000000000004E-2</c:v>
                </c:pt>
                <c:pt idx="4">
                  <c:v>4.4000000000000004E-2</c:v>
                </c:pt>
                <c:pt idx="5">
                  <c:v>4.4000000000000004E-2</c:v>
                </c:pt>
                <c:pt idx="6">
                  <c:v>4.4000000000000004E-2</c:v>
                </c:pt>
                <c:pt idx="7">
                  <c:v>4.4000000000000004E-2</c:v>
                </c:pt>
                <c:pt idx="8">
                  <c:v>4.4000000000000004E-2</c:v>
                </c:pt>
                <c:pt idx="9">
                  <c:v>4.4000000000000004E-2</c:v>
                </c:pt>
                <c:pt idx="10">
                  <c:v>4.4000000000000004E-2</c:v>
                </c:pt>
                <c:pt idx="11">
                  <c:v>4.4000000000000004E-2</c:v>
                </c:pt>
              </c:numCache>
            </c:numRef>
          </c:val>
          <c:smooth val="0"/>
          <c:extLst>
            <c:ext xmlns:c16="http://schemas.microsoft.com/office/drawing/2014/chart" uri="{C3380CC4-5D6E-409C-BE32-E72D297353CC}">
              <c16:uniqueId val="{00000002-685D-4C84-8167-DCDBE3A6862E}"/>
            </c:ext>
          </c:extLst>
        </c:ser>
        <c:ser>
          <c:idx val="2"/>
          <c:order val="2"/>
          <c:tx>
            <c:strRef>
              <c:f>'Further Analysis Sheet'!$C$46</c:f>
              <c:strCache>
                <c:ptCount val="1"/>
                <c:pt idx="0">
                  <c:v>Target -10%</c:v>
                </c:pt>
              </c:strCache>
            </c:strRef>
          </c:tx>
          <c:spPr>
            <a:ln>
              <a:solidFill>
                <a:srgbClr val="7030A0"/>
              </a:solidFill>
            </a:ln>
          </c:spPr>
          <c:marker>
            <c:symbol val="none"/>
          </c:marker>
          <c:cat>
            <c:strRef>
              <c:f>'Further Analysis Sheet'!$D$43:$O$43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Sheet'!$D$46:$O$46</c:f>
              <c:numCache>
                <c:formatCode>0.0%</c:formatCode>
                <c:ptCount val="12"/>
                <c:pt idx="0">
                  <c:v>3.6000000000000004E-2</c:v>
                </c:pt>
                <c:pt idx="1">
                  <c:v>3.6000000000000004E-2</c:v>
                </c:pt>
                <c:pt idx="2">
                  <c:v>3.6000000000000004E-2</c:v>
                </c:pt>
                <c:pt idx="3">
                  <c:v>3.6000000000000004E-2</c:v>
                </c:pt>
                <c:pt idx="4">
                  <c:v>3.6000000000000004E-2</c:v>
                </c:pt>
                <c:pt idx="5">
                  <c:v>3.6000000000000004E-2</c:v>
                </c:pt>
                <c:pt idx="6">
                  <c:v>3.6000000000000004E-2</c:v>
                </c:pt>
                <c:pt idx="7">
                  <c:v>3.6000000000000004E-2</c:v>
                </c:pt>
                <c:pt idx="8">
                  <c:v>3.6000000000000004E-2</c:v>
                </c:pt>
                <c:pt idx="9">
                  <c:v>3.6000000000000004E-2</c:v>
                </c:pt>
                <c:pt idx="10">
                  <c:v>3.6000000000000004E-2</c:v>
                </c:pt>
                <c:pt idx="11">
                  <c:v>3.6000000000000004E-2</c:v>
                </c:pt>
              </c:numCache>
            </c:numRef>
          </c:val>
          <c:smooth val="0"/>
          <c:extLst>
            <c:ext xmlns:c16="http://schemas.microsoft.com/office/drawing/2014/chart" uri="{C3380CC4-5D6E-409C-BE32-E72D297353CC}">
              <c16:uniqueId val="{00000003-685D-4C84-8167-DCDBE3A6862E}"/>
            </c:ext>
          </c:extLst>
        </c:ser>
        <c:dLbls>
          <c:showLegendKey val="0"/>
          <c:showVal val="0"/>
          <c:showCatName val="0"/>
          <c:showSerName val="0"/>
          <c:showPercent val="0"/>
          <c:showBubbleSize val="0"/>
        </c:dLbls>
        <c:marker val="1"/>
        <c:smooth val="0"/>
        <c:axId val="223691112"/>
        <c:axId val="223691504"/>
      </c:lineChart>
      <c:catAx>
        <c:axId val="223691112"/>
        <c:scaling>
          <c:orientation val="minMax"/>
        </c:scaling>
        <c:delete val="0"/>
        <c:axPos val="b"/>
        <c:numFmt formatCode="General" sourceLinked="0"/>
        <c:majorTickMark val="out"/>
        <c:minorTickMark val="none"/>
        <c:tickLblPos val="nextTo"/>
        <c:txPr>
          <a:bodyPr/>
          <a:lstStyle/>
          <a:p>
            <a:pPr>
              <a:defRPr sz="800"/>
            </a:pPr>
            <a:endParaRPr lang="en-US"/>
          </a:p>
        </c:txPr>
        <c:crossAx val="223691504"/>
        <c:crosses val="autoZero"/>
        <c:auto val="1"/>
        <c:lblAlgn val="ctr"/>
        <c:lblOffset val="100"/>
        <c:noMultiLvlLbl val="0"/>
      </c:catAx>
      <c:valAx>
        <c:axId val="223691504"/>
        <c:scaling>
          <c:orientation val="minMax"/>
        </c:scaling>
        <c:delete val="0"/>
        <c:axPos val="l"/>
        <c:majorGridlines>
          <c:spPr>
            <a:ln>
              <a:prstDash val="dash"/>
            </a:ln>
          </c:spPr>
        </c:majorGridlines>
        <c:numFmt formatCode="0.0%" sourceLinked="1"/>
        <c:majorTickMark val="out"/>
        <c:minorTickMark val="none"/>
        <c:tickLblPos val="nextTo"/>
        <c:txPr>
          <a:bodyPr/>
          <a:lstStyle/>
          <a:p>
            <a:pPr>
              <a:defRPr sz="900"/>
            </a:pPr>
            <a:endParaRPr lang="en-US"/>
          </a:p>
        </c:txPr>
        <c:crossAx val="223691112"/>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3863830604989403E-2"/>
          <c:y val="2.723379168716375E-2"/>
          <c:w val="0.96312479244526028"/>
          <c:h val="0.81261058664605246"/>
        </c:manualLayout>
      </c:layout>
      <c:barChart>
        <c:barDir val="col"/>
        <c:grouping val="clustered"/>
        <c:varyColors val="0"/>
        <c:ser>
          <c:idx val="3"/>
          <c:order val="3"/>
          <c:tx>
            <c:strRef>
              <c:f>'Further Analysis Sheet'!$C$52</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Sheet'!$D$52:$O$52</c:f>
              <c:numCache>
                <c:formatCode>General</c:formatCode>
                <c:ptCount val="12"/>
                <c:pt idx="0">
                  <c:v>4.4000000000000004</c:v>
                </c:pt>
                <c:pt idx="1">
                  <c:v>3.6</c:v>
                </c:pt>
                <c:pt idx="2">
                  <c:v>3.1</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A883-42C3-AB28-67348546FC9A}"/>
            </c:ext>
          </c:extLst>
        </c:ser>
        <c:dLbls>
          <c:showLegendKey val="0"/>
          <c:showVal val="0"/>
          <c:showCatName val="0"/>
          <c:showSerName val="0"/>
          <c:showPercent val="0"/>
          <c:showBubbleSize val="0"/>
        </c:dLbls>
        <c:gapWidth val="60"/>
        <c:axId val="223692288"/>
        <c:axId val="223692680"/>
      </c:barChart>
      <c:lineChart>
        <c:grouping val="standard"/>
        <c:varyColors val="0"/>
        <c:ser>
          <c:idx val="0"/>
          <c:order val="0"/>
          <c:tx>
            <c:strRef>
              <c:f>'Further Analysis Sheet'!$C$49</c:f>
              <c:strCache>
                <c:ptCount val="1"/>
                <c:pt idx="0">
                  <c:v>Target</c:v>
                </c:pt>
              </c:strCache>
            </c:strRef>
          </c:tx>
          <c:spPr>
            <a:ln>
              <a:solidFill>
                <a:srgbClr val="00B05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Sheet'!$D$49:$O$49</c:f>
              <c:numCache>
                <c:formatCode>0.0</c:formatCode>
                <c:ptCount val="12"/>
                <c:pt idx="0">
                  <c:v>5.3992425389650496</c:v>
                </c:pt>
                <c:pt idx="1">
                  <c:v>4.7404685820334738</c:v>
                </c:pt>
                <c:pt idx="2">
                  <c:v>3.7883840310362968</c:v>
                </c:pt>
                <c:pt idx="3">
                  <c:v>3.7735198188412018</c:v>
                </c:pt>
                <c:pt idx="4">
                  <c:v>3.8060078640931705</c:v>
                </c:pt>
                <c:pt idx="5">
                  <c:v>3.8879493209583038</c:v>
                </c:pt>
                <c:pt idx="6">
                  <c:v>5.131365012180785</c:v>
                </c:pt>
                <c:pt idx="7">
                  <c:v>6.3839002348072516</c:v>
                </c:pt>
                <c:pt idx="8">
                  <c:v>7.0188814726413344</c:v>
                </c:pt>
                <c:pt idx="9">
                  <c:v>7.6455958655232106</c:v>
                </c:pt>
                <c:pt idx="10">
                  <c:v>6.6988396956729241</c:v>
                </c:pt>
                <c:pt idx="11">
                  <c:v>6.725845563247006</c:v>
                </c:pt>
              </c:numCache>
            </c:numRef>
          </c:val>
          <c:smooth val="0"/>
          <c:extLst>
            <c:ext xmlns:c16="http://schemas.microsoft.com/office/drawing/2014/chart" uri="{C3380CC4-5D6E-409C-BE32-E72D297353CC}">
              <c16:uniqueId val="{00000001-A883-42C3-AB28-67348546FC9A}"/>
            </c:ext>
          </c:extLst>
        </c:ser>
        <c:ser>
          <c:idx val="1"/>
          <c:order val="1"/>
          <c:tx>
            <c:strRef>
              <c:f>'Further Analysis Sheet'!$C$50</c:f>
              <c:strCache>
                <c:ptCount val="1"/>
                <c:pt idx="0">
                  <c:v>Target +10%</c:v>
                </c:pt>
              </c:strCache>
            </c:strRef>
          </c:tx>
          <c:spPr>
            <a:ln>
              <a:solidFill>
                <a:srgbClr val="C0000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Sheet'!$D$50:$O$50</c:f>
              <c:numCache>
                <c:formatCode>0.0</c:formatCode>
                <c:ptCount val="12"/>
                <c:pt idx="0">
                  <c:v>5.9391667928615552</c:v>
                </c:pt>
                <c:pt idx="1">
                  <c:v>5.2145154402368217</c:v>
                </c:pt>
                <c:pt idx="2">
                  <c:v>4.1672224341399264</c:v>
                </c:pt>
                <c:pt idx="3">
                  <c:v>4.150871800725322</c:v>
                </c:pt>
                <c:pt idx="4">
                  <c:v>4.186608650502488</c:v>
                </c:pt>
                <c:pt idx="5">
                  <c:v>4.2767442530541349</c:v>
                </c:pt>
                <c:pt idx="6">
                  <c:v>5.6445015133988639</c:v>
                </c:pt>
                <c:pt idx="7">
                  <c:v>7.0222902582879776</c:v>
                </c:pt>
                <c:pt idx="8">
                  <c:v>7.720769619905469</c:v>
                </c:pt>
                <c:pt idx="9">
                  <c:v>8.4101554520755322</c:v>
                </c:pt>
                <c:pt idx="10">
                  <c:v>7.3687236652402168</c:v>
                </c:pt>
                <c:pt idx="11">
                  <c:v>7.3984301195717075</c:v>
                </c:pt>
              </c:numCache>
            </c:numRef>
          </c:val>
          <c:smooth val="0"/>
          <c:extLst>
            <c:ext xmlns:c16="http://schemas.microsoft.com/office/drawing/2014/chart" uri="{C3380CC4-5D6E-409C-BE32-E72D297353CC}">
              <c16:uniqueId val="{00000002-A883-42C3-AB28-67348546FC9A}"/>
            </c:ext>
          </c:extLst>
        </c:ser>
        <c:ser>
          <c:idx val="2"/>
          <c:order val="2"/>
          <c:tx>
            <c:strRef>
              <c:f>'Further Analysis Sheet'!$C$51</c:f>
              <c:strCache>
                <c:ptCount val="1"/>
                <c:pt idx="0">
                  <c:v>Target -10%</c:v>
                </c:pt>
              </c:strCache>
            </c:strRef>
          </c:tx>
          <c:spPr>
            <a:ln>
              <a:solidFill>
                <a:srgbClr val="7030A0"/>
              </a:solidFill>
            </a:ln>
          </c:spPr>
          <c:marker>
            <c:symbol val="none"/>
          </c:marker>
          <c:cat>
            <c:strRef>
              <c:f>'Further Analysis Sheet'!$D$48:$O$48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Sheet'!$D$51:$O$51</c:f>
              <c:numCache>
                <c:formatCode>0.0</c:formatCode>
                <c:ptCount val="12"/>
                <c:pt idx="0">
                  <c:v>4.8593182850685448</c:v>
                </c:pt>
                <c:pt idx="1">
                  <c:v>4.2664217238301267</c:v>
                </c:pt>
                <c:pt idx="2">
                  <c:v>3.4095456279326672</c:v>
                </c:pt>
                <c:pt idx="3">
                  <c:v>3.3961678369570816</c:v>
                </c:pt>
                <c:pt idx="4">
                  <c:v>3.4254070776838534</c:v>
                </c:pt>
                <c:pt idx="5">
                  <c:v>3.4991543888624737</c:v>
                </c:pt>
                <c:pt idx="6">
                  <c:v>4.618228510962707</c:v>
                </c:pt>
                <c:pt idx="7">
                  <c:v>5.7455102113265264</c:v>
                </c:pt>
                <c:pt idx="8">
                  <c:v>6.3169933253772008</c:v>
                </c:pt>
                <c:pt idx="9">
                  <c:v>6.8810362789708899</c:v>
                </c:pt>
                <c:pt idx="10">
                  <c:v>6.0289557261056315</c:v>
                </c:pt>
                <c:pt idx="11">
                  <c:v>6.0532610069223054</c:v>
                </c:pt>
              </c:numCache>
            </c:numRef>
          </c:val>
          <c:smooth val="0"/>
          <c:extLst>
            <c:ext xmlns:c16="http://schemas.microsoft.com/office/drawing/2014/chart" uri="{C3380CC4-5D6E-409C-BE32-E72D297353CC}">
              <c16:uniqueId val="{00000003-A883-42C3-AB28-67348546FC9A}"/>
            </c:ext>
          </c:extLst>
        </c:ser>
        <c:dLbls>
          <c:showLegendKey val="0"/>
          <c:showVal val="0"/>
          <c:showCatName val="0"/>
          <c:showSerName val="0"/>
          <c:showPercent val="0"/>
          <c:showBubbleSize val="0"/>
        </c:dLbls>
        <c:marker val="1"/>
        <c:smooth val="0"/>
        <c:axId val="223692288"/>
        <c:axId val="223692680"/>
      </c:lineChart>
      <c:catAx>
        <c:axId val="223692288"/>
        <c:scaling>
          <c:orientation val="minMax"/>
        </c:scaling>
        <c:delete val="0"/>
        <c:axPos val="b"/>
        <c:numFmt formatCode="General" sourceLinked="0"/>
        <c:majorTickMark val="out"/>
        <c:minorTickMark val="none"/>
        <c:tickLblPos val="nextTo"/>
        <c:txPr>
          <a:bodyPr/>
          <a:lstStyle/>
          <a:p>
            <a:pPr>
              <a:defRPr sz="800"/>
            </a:pPr>
            <a:endParaRPr lang="en-US"/>
          </a:p>
        </c:txPr>
        <c:crossAx val="223692680"/>
        <c:crosses val="autoZero"/>
        <c:auto val="1"/>
        <c:lblAlgn val="ctr"/>
        <c:lblOffset val="100"/>
        <c:noMultiLvlLbl val="0"/>
      </c:catAx>
      <c:valAx>
        <c:axId val="22369268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692288"/>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0934204713682086E-2"/>
          <c:y val="4.7275147799158576E-2"/>
          <c:w val="0.92434165933209911"/>
          <c:h val="0.81692322210903756"/>
        </c:manualLayout>
      </c:layout>
      <c:lineChart>
        <c:grouping val="standard"/>
        <c:varyColors val="0"/>
        <c:ser>
          <c:idx val="2"/>
          <c:order val="2"/>
          <c:tx>
            <c:strRef>
              <c:f>'Further Analysis Sheet'!$T$6</c:f>
              <c:strCache>
                <c:ptCount val="1"/>
                <c:pt idx="0">
                  <c:v>Previous Year</c:v>
                </c:pt>
              </c:strCache>
            </c:strRef>
          </c:tx>
          <c:spPr>
            <a:ln>
              <a:solidFill>
                <a:srgbClr val="0070C0"/>
              </a:solidFill>
              <a:prstDash val="sysDash"/>
            </a:ln>
          </c:spPr>
          <c:marker>
            <c:symbol val="none"/>
          </c:marker>
          <c:cat>
            <c:strRef>
              <c:f>'Further Analysis Sheet'!$U$3:$AE$3</c:f>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f>'Further Analysis Sheet'!$U$6:$AE$6</c:f>
              <c:numCache>
                <c:formatCode>General</c:formatCode>
                <c:ptCount val="11"/>
                <c:pt idx="0">
                  <c:v>2368</c:v>
                </c:pt>
                <c:pt idx="1">
                  <c:v>4434</c:v>
                </c:pt>
                <c:pt idx="2">
                  <c:v>6469</c:v>
                </c:pt>
                <c:pt idx="3">
                  <c:v>9789</c:v>
                </c:pt>
                <c:pt idx="4">
                  <c:v>13293</c:v>
                </c:pt>
                <c:pt idx="5">
                  <c:v>15173</c:v>
                </c:pt>
                <c:pt idx="6">
                  <c:v>16892</c:v>
                </c:pt>
                <c:pt idx="7">
                  <c:v>18586</c:v>
                </c:pt>
                <c:pt idx="8">
                  <c:v>20290</c:v>
                </c:pt>
                <c:pt idx="9">
                  <c:v>21710</c:v>
                </c:pt>
                <c:pt idx="10">
                  <c:v>23342</c:v>
                </c:pt>
              </c:numCache>
            </c:numRef>
          </c:val>
          <c:smooth val="0"/>
          <c:extLst>
            <c:ext xmlns:c16="http://schemas.microsoft.com/office/drawing/2014/chart" uri="{C3380CC4-5D6E-409C-BE32-E72D297353CC}">
              <c16:uniqueId val="{00000000-AB4C-45B3-AFA9-DBB4DB532DCD}"/>
            </c:ext>
          </c:extLst>
        </c:ser>
        <c:ser>
          <c:idx val="3"/>
          <c:order val="3"/>
          <c:tx>
            <c:strRef>
              <c:f>'Further Analysis Sheet'!$T$7</c:f>
              <c:strCache>
                <c:ptCount val="1"/>
                <c:pt idx="0">
                  <c:v>Performance</c:v>
                </c:pt>
              </c:strCache>
            </c:strRef>
          </c:tx>
          <c:spPr>
            <a:ln>
              <a:solidFill>
                <a:schemeClr val="tx1"/>
              </a:solidFill>
            </a:ln>
          </c:spPr>
          <c:marker>
            <c:symbol val="none"/>
          </c:marker>
          <c:cat>
            <c:strRef>
              <c:f>'Further Analysis Sheet'!$U$3:$AE$3</c:f>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f>'Further Analysis Sheet'!$U$7:$AE$7</c:f>
              <c:numCache>
                <c:formatCode>General</c:formatCode>
                <c:ptCount val="11"/>
                <c:pt idx="0">
                  <c:v>1849</c:v>
                </c:pt>
                <c:pt idx="1">
                  <c:v>3492</c:v>
                </c:pt>
                <c:pt idx="2">
                  <c:v>5771</c:v>
                </c:pt>
                <c:pt idx="3">
                  <c:v>5771</c:v>
                </c:pt>
                <c:pt idx="4">
                  <c:v>5771</c:v>
                </c:pt>
                <c:pt idx="5">
                  <c:v>5771</c:v>
                </c:pt>
                <c:pt idx="6">
                  <c:v>5771</c:v>
                </c:pt>
                <c:pt idx="7">
                  <c:v>5771</c:v>
                </c:pt>
                <c:pt idx="8">
                  <c:v>5771</c:v>
                </c:pt>
                <c:pt idx="9">
                  <c:v>5771</c:v>
                </c:pt>
                <c:pt idx="10">
                  <c:v>5771</c:v>
                </c:pt>
              </c:numCache>
            </c:numRef>
          </c:val>
          <c:smooth val="0"/>
          <c:extLst>
            <c:ext xmlns:c16="http://schemas.microsoft.com/office/drawing/2014/chart" uri="{C3380CC4-5D6E-409C-BE32-E72D297353CC}">
              <c16:uniqueId val="{00000001-AB4C-45B3-AFA9-DBB4DB532DCD}"/>
            </c:ext>
          </c:extLst>
        </c:ser>
        <c:dLbls>
          <c:showLegendKey val="0"/>
          <c:showVal val="0"/>
          <c:showCatName val="0"/>
          <c:showSerName val="0"/>
          <c:showPercent val="0"/>
          <c:showBubbleSize val="0"/>
        </c:dLbls>
        <c:smooth val="0"/>
        <c:axId val="248579712"/>
        <c:axId val="248580104"/>
        <c:extLst>
          <c:ext xmlns:c15="http://schemas.microsoft.com/office/drawing/2012/chart" uri="{02D57815-91ED-43cb-92C2-25804820EDAC}">
            <c15:filteredLineSeries>
              <c15:ser>
                <c:idx val="0"/>
                <c:order val="0"/>
                <c:tx>
                  <c:strRef>
                    <c:extLst>
                      <c:ext uri="{02D57815-91ED-43cb-92C2-25804820EDAC}">
                        <c15:formulaRef>
                          <c15:sqref>'Further Analysis Sheet'!$T$4</c15:sqref>
                        </c15:formulaRef>
                      </c:ext>
                    </c:extLst>
                    <c:strCache>
                      <c:ptCount val="1"/>
                    </c:strCache>
                  </c:strRef>
                </c:tx>
                <c:spPr>
                  <a:ln>
                    <a:solidFill>
                      <a:srgbClr val="00B050"/>
                    </a:solidFill>
                    <a:prstDash val="sysDash"/>
                  </a:ln>
                </c:spPr>
                <c:marker>
                  <c:symbol val="none"/>
                </c:marker>
                <c:cat>
                  <c:strRef>
                    <c:extLst>
                      <c:ext uri="{02D57815-91ED-43cb-92C2-25804820EDAC}">
                        <c15:formulaRef>
                          <c15:sqref>'Further Analysis Sheet'!$U$3:$AE$3</c15:sqref>
                        </c15:formulaRef>
                      </c:ext>
                    </c:extLst>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extLst>
                      <c:ext uri="{02D57815-91ED-43cb-92C2-25804820EDAC}">
                        <c15:formulaRef>
                          <c15:sqref>'Further Analysis Sheet'!$U$4:$AE$4</c15:sqref>
                        </c15:formulaRef>
                      </c:ext>
                    </c:extLst>
                    <c:numCache>
                      <c:formatCode>General</c:formatCode>
                      <c:ptCount val="11"/>
                    </c:numCache>
                  </c:numRef>
                </c:val>
                <c:smooth val="0"/>
                <c:extLst>
                  <c:ext xmlns:c16="http://schemas.microsoft.com/office/drawing/2014/chart" uri="{C3380CC4-5D6E-409C-BE32-E72D297353CC}">
                    <c16:uniqueId val="{00000002-AB4C-45B3-AFA9-DBB4DB532DCD}"/>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'Further Analysis Sheet'!$T$5</c15:sqref>
                        </c15:formulaRef>
                      </c:ext>
                    </c:extLst>
                    <c:strCache>
                      <c:ptCount val="1"/>
                    </c:strCache>
                  </c:strRef>
                </c:tx>
                <c:spPr>
                  <a:ln>
                    <a:prstDash val="sysDash"/>
                  </a:ln>
                </c:spPr>
                <c:marker>
                  <c:symbol val="none"/>
                </c:marker>
                <c:cat>
                  <c:strRef>
                    <c:extLst xmlns:c15="http://schemas.microsoft.com/office/drawing/2012/chart">
                      <c:ext xmlns:c15="http://schemas.microsoft.com/office/drawing/2012/chart" uri="{02D57815-91ED-43cb-92C2-25804820EDAC}">
                        <c15:formulaRef>
                          <c15:sqref>'Further Analysis Sheet'!$U$3:$AE$3</c15:sqref>
                        </c15:formulaRef>
                      </c:ext>
                    </c:extLst>
                    <c:strCache>
                      <c:ptCount val="11"/>
                      <c:pt idx="0">
                        <c:v>Apr</c:v>
                      </c:pt>
                      <c:pt idx="1">
                        <c:v>May</c:v>
                      </c:pt>
                      <c:pt idx="2">
                        <c:v>June</c:v>
                      </c:pt>
                      <c:pt idx="3">
                        <c:v>July</c:v>
                      </c:pt>
                      <c:pt idx="4">
                        <c:v>Aug</c:v>
                      </c:pt>
                      <c:pt idx="5">
                        <c:v>Sept</c:v>
                      </c:pt>
                      <c:pt idx="6">
                        <c:v>Oct</c:v>
                      </c:pt>
                      <c:pt idx="7">
                        <c:v>Nov</c:v>
                      </c:pt>
                      <c:pt idx="8">
                        <c:v>Dec</c:v>
                      </c:pt>
                      <c:pt idx="9">
                        <c:v>Jan</c:v>
                      </c:pt>
                      <c:pt idx="10">
                        <c:v>Feb</c:v>
                      </c:pt>
                    </c:strCache>
                  </c:strRef>
                </c:cat>
                <c:val>
                  <c:numRef>
                    <c:extLst xmlns:c15="http://schemas.microsoft.com/office/drawing/2012/chart">
                      <c:ext xmlns:c15="http://schemas.microsoft.com/office/drawing/2012/chart" uri="{02D57815-91ED-43cb-92C2-25804820EDAC}">
                        <c15:formulaRef>
                          <c15:sqref>'Further Analysis Sheet'!$U$5:$AE$5</c15:sqref>
                        </c15:formulaRef>
                      </c:ext>
                    </c:extLst>
                    <c:numCache>
                      <c:formatCode>General</c:formatCode>
                      <c:ptCount val="11"/>
                    </c:numCache>
                  </c:numRef>
                </c:val>
                <c:smooth val="0"/>
                <c:extLst xmlns:c15="http://schemas.microsoft.com/office/drawing/2012/chart">
                  <c:ext xmlns:c16="http://schemas.microsoft.com/office/drawing/2014/chart" uri="{C3380CC4-5D6E-409C-BE32-E72D297353CC}">
                    <c16:uniqueId val="{00000003-AB4C-45B3-AFA9-DBB4DB532DCD}"/>
                  </c:ext>
                </c:extLst>
              </c15:ser>
            </c15:filteredLineSeries>
          </c:ext>
        </c:extLst>
      </c:lineChart>
      <c:catAx>
        <c:axId val="248579712"/>
        <c:scaling>
          <c:orientation val="minMax"/>
        </c:scaling>
        <c:delete val="0"/>
        <c:axPos val="b"/>
        <c:numFmt formatCode="General" sourceLinked="0"/>
        <c:majorTickMark val="out"/>
        <c:minorTickMark val="none"/>
        <c:tickLblPos val="nextTo"/>
        <c:txPr>
          <a:bodyPr/>
          <a:lstStyle/>
          <a:p>
            <a:pPr>
              <a:defRPr sz="800"/>
            </a:pPr>
            <a:endParaRPr lang="en-US"/>
          </a:p>
        </c:txPr>
        <c:crossAx val="248580104"/>
        <c:crosses val="autoZero"/>
        <c:auto val="1"/>
        <c:lblAlgn val="ctr"/>
        <c:lblOffset val="100"/>
        <c:noMultiLvlLbl val="0"/>
      </c:catAx>
      <c:valAx>
        <c:axId val="2485801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79712"/>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896331367332004E-2"/>
          <c:y val="3.7260461069588614E-2"/>
          <c:w val="0.93295665692096541"/>
          <c:h val="0.79179632271042577"/>
        </c:manualLayout>
      </c:layout>
      <c:barChart>
        <c:barDir val="col"/>
        <c:grouping val="clustered"/>
        <c:varyColors val="0"/>
        <c:ser>
          <c:idx val="3"/>
          <c:order val="3"/>
          <c:tx>
            <c:strRef>
              <c:f>'Further Analysis Sheet'!$C$12</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Sheet'!$D$12:$O$12</c:f>
              <c:numCache>
                <c:formatCode>General</c:formatCode>
                <c:ptCount val="12"/>
                <c:pt idx="0">
                  <c:v>1563</c:v>
                </c:pt>
                <c:pt idx="1">
                  <c:v>1636</c:v>
                </c:pt>
                <c:pt idx="2">
                  <c:v>1742</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0ADB-4A4F-9391-96BF9337D7BD}"/>
            </c:ext>
          </c:extLst>
        </c:ser>
        <c:dLbls>
          <c:showLegendKey val="0"/>
          <c:showVal val="0"/>
          <c:showCatName val="0"/>
          <c:showSerName val="0"/>
          <c:showPercent val="0"/>
          <c:showBubbleSize val="0"/>
        </c:dLbls>
        <c:gapWidth val="60"/>
        <c:axId val="223250160"/>
        <c:axId val="223099056"/>
      </c:barChart>
      <c:lineChart>
        <c:grouping val="standard"/>
        <c:varyColors val="0"/>
        <c:ser>
          <c:idx val="0"/>
          <c:order val="0"/>
          <c:tx>
            <c:strRef>
              <c:f>'Further Analysis Sheet'!$C$9</c:f>
              <c:strCache>
                <c:ptCount val="1"/>
                <c:pt idx="0">
                  <c:v>Target</c:v>
                </c:pt>
              </c:strCache>
            </c:strRef>
          </c:tx>
          <c:spPr>
            <a:ln>
              <a:solidFill>
                <a:srgbClr val="00B05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Sheet'!$D$9:$O$9</c:f>
              <c:numCache>
                <c:formatCode>General</c:formatCode>
                <c:ptCount val="12"/>
                <c:pt idx="0">
                  <c:v>1741</c:v>
                </c:pt>
                <c:pt idx="1">
                  <c:v>1717</c:v>
                </c:pt>
                <c:pt idx="2">
                  <c:v>1710</c:v>
                </c:pt>
                <c:pt idx="3">
                  <c:v>1993</c:v>
                </c:pt>
                <c:pt idx="4">
                  <c:v>1792</c:v>
                </c:pt>
                <c:pt idx="5">
                  <c:v>1612</c:v>
                </c:pt>
                <c:pt idx="6">
                  <c:v>1530</c:v>
                </c:pt>
                <c:pt idx="7">
                  <c:v>1609</c:v>
                </c:pt>
                <c:pt idx="8">
                  <c:v>1445</c:v>
                </c:pt>
                <c:pt idx="9">
                  <c:v>1273</c:v>
                </c:pt>
                <c:pt idx="10">
                  <c:v>1270</c:v>
                </c:pt>
                <c:pt idx="11">
                  <c:v>1522</c:v>
                </c:pt>
              </c:numCache>
            </c:numRef>
          </c:val>
          <c:smooth val="0"/>
          <c:extLst>
            <c:ext xmlns:c16="http://schemas.microsoft.com/office/drawing/2014/chart" uri="{C3380CC4-5D6E-409C-BE32-E72D297353CC}">
              <c16:uniqueId val="{00000001-0ADB-4A4F-9391-96BF9337D7BD}"/>
            </c:ext>
          </c:extLst>
        </c:ser>
        <c:ser>
          <c:idx val="1"/>
          <c:order val="1"/>
          <c:tx>
            <c:strRef>
              <c:f>'Further Analysis Sheet'!$C$10</c:f>
              <c:strCache>
                <c:ptCount val="1"/>
                <c:pt idx="0">
                  <c:v>Target +10%</c:v>
                </c:pt>
              </c:strCache>
            </c:strRef>
          </c:tx>
          <c:spPr>
            <a:ln>
              <a:solidFill>
                <a:srgbClr val="C00000"/>
              </a:solidFill>
              <a:prstDash val="solid"/>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Sheet'!$D$10:$O$10</c:f>
              <c:numCache>
                <c:formatCode>General</c:formatCode>
                <c:ptCount val="12"/>
                <c:pt idx="0">
                  <c:v>1915.1000000000001</c:v>
                </c:pt>
                <c:pt idx="1">
                  <c:v>1888.7</c:v>
                </c:pt>
                <c:pt idx="2">
                  <c:v>1881.0000000000002</c:v>
                </c:pt>
                <c:pt idx="3">
                  <c:v>2192.3000000000002</c:v>
                </c:pt>
                <c:pt idx="4">
                  <c:v>1971.2000000000003</c:v>
                </c:pt>
                <c:pt idx="5">
                  <c:v>1773.2</c:v>
                </c:pt>
                <c:pt idx="6">
                  <c:v>1683.0000000000002</c:v>
                </c:pt>
                <c:pt idx="7">
                  <c:v>1769.9</c:v>
                </c:pt>
                <c:pt idx="8">
                  <c:v>1589.5000000000002</c:v>
                </c:pt>
                <c:pt idx="9">
                  <c:v>1400.3000000000002</c:v>
                </c:pt>
                <c:pt idx="10">
                  <c:v>1397</c:v>
                </c:pt>
                <c:pt idx="11">
                  <c:v>1674.2</c:v>
                </c:pt>
              </c:numCache>
            </c:numRef>
          </c:val>
          <c:smooth val="0"/>
          <c:extLst>
            <c:ext xmlns:c16="http://schemas.microsoft.com/office/drawing/2014/chart" uri="{C3380CC4-5D6E-409C-BE32-E72D297353CC}">
              <c16:uniqueId val="{00000002-0ADB-4A4F-9391-96BF9337D7BD}"/>
            </c:ext>
          </c:extLst>
        </c:ser>
        <c:ser>
          <c:idx val="2"/>
          <c:order val="2"/>
          <c:tx>
            <c:strRef>
              <c:f>'Further Analysis Sheet'!$C$11</c:f>
              <c:strCache>
                <c:ptCount val="1"/>
                <c:pt idx="0">
                  <c:v>Target -10%</c:v>
                </c:pt>
              </c:strCache>
            </c:strRef>
          </c:tx>
          <c:spPr>
            <a:ln>
              <a:solidFill>
                <a:srgbClr val="7030A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Sheet'!$D$11:$O$11</c:f>
              <c:numCache>
                <c:formatCode>General</c:formatCode>
                <c:ptCount val="12"/>
                <c:pt idx="0">
                  <c:v>1566.9</c:v>
                </c:pt>
                <c:pt idx="1">
                  <c:v>1545.3</c:v>
                </c:pt>
                <c:pt idx="2">
                  <c:v>1539</c:v>
                </c:pt>
                <c:pt idx="3">
                  <c:v>1793.7</c:v>
                </c:pt>
                <c:pt idx="4">
                  <c:v>1612.8</c:v>
                </c:pt>
                <c:pt idx="5">
                  <c:v>1450.8</c:v>
                </c:pt>
                <c:pt idx="6">
                  <c:v>1377</c:v>
                </c:pt>
                <c:pt idx="7">
                  <c:v>1448.1000000000001</c:v>
                </c:pt>
                <c:pt idx="8">
                  <c:v>1300.5</c:v>
                </c:pt>
                <c:pt idx="9">
                  <c:v>1145.7</c:v>
                </c:pt>
                <c:pt idx="10">
                  <c:v>1143</c:v>
                </c:pt>
                <c:pt idx="11">
                  <c:v>1369.8</c:v>
                </c:pt>
              </c:numCache>
            </c:numRef>
          </c:val>
          <c:smooth val="0"/>
          <c:extLst>
            <c:ext xmlns:c16="http://schemas.microsoft.com/office/drawing/2014/chart" uri="{C3380CC4-5D6E-409C-BE32-E72D297353CC}">
              <c16:uniqueId val="{00000003-0ADB-4A4F-9391-96BF9337D7BD}"/>
            </c:ext>
          </c:extLst>
        </c:ser>
        <c:dLbls>
          <c:showLegendKey val="0"/>
          <c:showVal val="0"/>
          <c:showCatName val="0"/>
          <c:showSerName val="0"/>
          <c:showPercent val="0"/>
          <c:showBubbleSize val="0"/>
        </c:dLbls>
        <c:marker val="1"/>
        <c:smooth val="0"/>
        <c:axId val="223250160"/>
        <c:axId val="223099056"/>
      </c:lineChart>
      <c:catAx>
        <c:axId val="223250160"/>
        <c:scaling>
          <c:orientation val="minMax"/>
        </c:scaling>
        <c:delete val="0"/>
        <c:axPos val="b"/>
        <c:numFmt formatCode="General" sourceLinked="0"/>
        <c:majorTickMark val="out"/>
        <c:minorTickMark val="none"/>
        <c:tickLblPos val="nextTo"/>
        <c:txPr>
          <a:bodyPr/>
          <a:lstStyle/>
          <a:p>
            <a:pPr>
              <a:defRPr sz="800"/>
            </a:pPr>
            <a:endParaRPr lang="en-US"/>
          </a:p>
        </c:txPr>
        <c:crossAx val="223099056"/>
        <c:crosses val="autoZero"/>
        <c:auto val="1"/>
        <c:lblAlgn val="ctr"/>
        <c:lblOffset val="100"/>
        <c:noMultiLvlLbl val="0"/>
      </c:catAx>
      <c:valAx>
        <c:axId val="22309905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5016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302818160052074E-2"/>
          <c:y val="2.7089877966420279E-2"/>
          <c:w val="0.92434165933209911"/>
          <c:h val="0.82678750281073743"/>
        </c:manualLayout>
      </c:layout>
      <c:lineChart>
        <c:grouping val="standard"/>
        <c:varyColors val="0"/>
        <c:ser>
          <c:idx val="0"/>
          <c:order val="0"/>
          <c:tx>
            <c:strRef>
              <c:f>'Further Analysis Sheet'!$T$9</c:f>
              <c:strCache>
                <c:ptCount val="1"/>
                <c:pt idx="0">
                  <c:v>Target</c:v>
                </c:pt>
              </c:strCache>
            </c:strRef>
          </c:tx>
          <c:spPr>
            <a:ln>
              <a:solidFill>
                <a:srgbClr val="00B05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Sheet'!$U$9:$AF$9</c:f>
              <c:numCache>
                <c:formatCode>General</c:formatCode>
                <c:ptCount val="12"/>
                <c:pt idx="0">
                  <c:v>1741</c:v>
                </c:pt>
                <c:pt idx="1">
                  <c:v>3458</c:v>
                </c:pt>
                <c:pt idx="2">
                  <c:v>5168</c:v>
                </c:pt>
                <c:pt idx="3">
                  <c:v>7161</c:v>
                </c:pt>
                <c:pt idx="4">
                  <c:v>8953</c:v>
                </c:pt>
                <c:pt idx="5">
                  <c:v>10565</c:v>
                </c:pt>
                <c:pt idx="6">
                  <c:v>12095</c:v>
                </c:pt>
                <c:pt idx="7">
                  <c:v>13704</c:v>
                </c:pt>
                <c:pt idx="8">
                  <c:v>15149</c:v>
                </c:pt>
                <c:pt idx="9">
                  <c:v>16422</c:v>
                </c:pt>
                <c:pt idx="10">
                  <c:v>17692</c:v>
                </c:pt>
                <c:pt idx="11">
                  <c:v>19214</c:v>
                </c:pt>
              </c:numCache>
            </c:numRef>
          </c:val>
          <c:smooth val="0"/>
          <c:extLst>
            <c:ext xmlns:c16="http://schemas.microsoft.com/office/drawing/2014/chart" uri="{C3380CC4-5D6E-409C-BE32-E72D297353CC}">
              <c16:uniqueId val="{00000000-F85A-445E-A8F9-FB5D4E6B0B88}"/>
            </c:ext>
          </c:extLst>
        </c:ser>
        <c:ser>
          <c:idx val="1"/>
          <c:order val="1"/>
          <c:tx>
            <c:strRef>
              <c:f>'Further Analysis Sheet'!$T$10</c:f>
              <c:strCache>
                <c:ptCount val="1"/>
                <c:pt idx="0">
                  <c:v>Target +10%</c:v>
                </c:pt>
              </c:strCache>
            </c:strRef>
          </c:tx>
          <c:spPr>
            <a:ln>
              <a:solidFill>
                <a:srgbClr val="C0000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Sheet'!$U$10:$AF$10</c:f>
              <c:numCache>
                <c:formatCode>General</c:formatCode>
                <c:ptCount val="12"/>
                <c:pt idx="0">
                  <c:v>1915.1000000000001</c:v>
                </c:pt>
                <c:pt idx="1">
                  <c:v>3803.8</c:v>
                </c:pt>
                <c:pt idx="2">
                  <c:v>5684.8</c:v>
                </c:pt>
                <c:pt idx="3">
                  <c:v>7877.1</c:v>
                </c:pt>
                <c:pt idx="4">
                  <c:v>9848.3000000000011</c:v>
                </c:pt>
                <c:pt idx="5">
                  <c:v>11621.500000000002</c:v>
                </c:pt>
                <c:pt idx="6">
                  <c:v>13304.500000000002</c:v>
                </c:pt>
                <c:pt idx="7">
                  <c:v>15074.400000000001</c:v>
                </c:pt>
                <c:pt idx="8">
                  <c:v>16663.900000000001</c:v>
                </c:pt>
                <c:pt idx="9">
                  <c:v>18064.2</c:v>
                </c:pt>
                <c:pt idx="10">
                  <c:v>19461.2</c:v>
                </c:pt>
                <c:pt idx="11">
                  <c:v>21135.4</c:v>
                </c:pt>
              </c:numCache>
            </c:numRef>
          </c:val>
          <c:smooth val="0"/>
          <c:extLst>
            <c:ext xmlns:c16="http://schemas.microsoft.com/office/drawing/2014/chart" uri="{C3380CC4-5D6E-409C-BE32-E72D297353CC}">
              <c16:uniqueId val="{00000001-F85A-445E-A8F9-FB5D4E6B0B88}"/>
            </c:ext>
          </c:extLst>
        </c:ser>
        <c:ser>
          <c:idx val="2"/>
          <c:order val="2"/>
          <c:tx>
            <c:strRef>
              <c:f>'Further Analysis Sheet'!$T$11</c:f>
              <c:strCache>
                <c:ptCount val="1"/>
                <c:pt idx="0">
                  <c:v>Target -10%</c:v>
                </c:pt>
              </c:strCache>
            </c:strRef>
          </c:tx>
          <c:spPr>
            <a:ln>
              <a:solidFill>
                <a:srgbClr val="7030A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Sheet'!$U$11:$AF$11</c:f>
              <c:numCache>
                <c:formatCode>General</c:formatCode>
                <c:ptCount val="12"/>
                <c:pt idx="0">
                  <c:v>1566.9</c:v>
                </c:pt>
                <c:pt idx="1">
                  <c:v>3112.2</c:v>
                </c:pt>
                <c:pt idx="2">
                  <c:v>4651.2</c:v>
                </c:pt>
                <c:pt idx="3">
                  <c:v>6444.9</c:v>
                </c:pt>
                <c:pt idx="4">
                  <c:v>8057.7</c:v>
                </c:pt>
                <c:pt idx="5">
                  <c:v>9508.5</c:v>
                </c:pt>
                <c:pt idx="6">
                  <c:v>10885.5</c:v>
                </c:pt>
                <c:pt idx="7">
                  <c:v>12333.6</c:v>
                </c:pt>
                <c:pt idx="8">
                  <c:v>13634.1</c:v>
                </c:pt>
                <c:pt idx="9">
                  <c:v>14779.800000000001</c:v>
                </c:pt>
                <c:pt idx="10">
                  <c:v>15922.800000000001</c:v>
                </c:pt>
                <c:pt idx="11">
                  <c:v>17292.600000000002</c:v>
                </c:pt>
              </c:numCache>
            </c:numRef>
          </c:val>
          <c:smooth val="0"/>
          <c:extLst>
            <c:ext xmlns:c16="http://schemas.microsoft.com/office/drawing/2014/chart" uri="{C3380CC4-5D6E-409C-BE32-E72D297353CC}">
              <c16:uniqueId val="{00000002-F85A-445E-A8F9-FB5D4E6B0B88}"/>
            </c:ext>
          </c:extLst>
        </c:ser>
        <c:ser>
          <c:idx val="3"/>
          <c:order val="3"/>
          <c:tx>
            <c:strRef>
              <c:f>'Further Analysis Sheet'!$T$12</c:f>
              <c:strCache>
                <c:ptCount val="1"/>
                <c:pt idx="0">
                  <c:v>Performance</c:v>
                </c:pt>
              </c:strCache>
            </c:strRef>
          </c:tx>
          <c:spPr>
            <a:ln>
              <a:solidFill>
                <a:schemeClr val="tx1"/>
              </a:solidFill>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Sheet'!$U$12:$AF$12</c:f>
              <c:numCache>
                <c:formatCode>General</c:formatCode>
                <c:ptCount val="12"/>
                <c:pt idx="0">
                  <c:v>1563</c:v>
                </c:pt>
                <c:pt idx="1">
                  <c:v>3199</c:v>
                </c:pt>
                <c:pt idx="2">
                  <c:v>4941</c:v>
                </c:pt>
                <c:pt idx="3">
                  <c:v>4941</c:v>
                </c:pt>
                <c:pt idx="4">
                  <c:v>4941</c:v>
                </c:pt>
                <c:pt idx="5">
                  <c:v>4941</c:v>
                </c:pt>
                <c:pt idx="6">
                  <c:v>4941</c:v>
                </c:pt>
                <c:pt idx="7">
                  <c:v>4941</c:v>
                </c:pt>
                <c:pt idx="8">
                  <c:v>4941</c:v>
                </c:pt>
                <c:pt idx="9">
                  <c:v>4941</c:v>
                </c:pt>
                <c:pt idx="10">
                  <c:v>4941</c:v>
                </c:pt>
                <c:pt idx="11">
                  <c:v>4941</c:v>
                </c:pt>
              </c:numCache>
            </c:numRef>
          </c:val>
          <c:smooth val="0"/>
          <c:extLst>
            <c:ext xmlns:c16="http://schemas.microsoft.com/office/drawing/2014/chart" uri="{C3380CC4-5D6E-409C-BE32-E72D297353CC}">
              <c16:uniqueId val="{00000003-F85A-445E-A8F9-FB5D4E6B0B88}"/>
            </c:ext>
          </c:extLst>
        </c:ser>
        <c:dLbls>
          <c:showLegendKey val="0"/>
          <c:showVal val="0"/>
          <c:showCatName val="0"/>
          <c:showSerName val="0"/>
          <c:showPercent val="0"/>
          <c:showBubbleSize val="0"/>
        </c:dLbls>
        <c:smooth val="0"/>
        <c:axId val="223100232"/>
        <c:axId val="223100624"/>
      </c:lineChart>
      <c:catAx>
        <c:axId val="223100232"/>
        <c:scaling>
          <c:orientation val="minMax"/>
        </c:scaling>
        <c:delete val="0"/>
        <c:axPos val="b"/>
        <c:numFmt formatCode="General" sourceLinked="0"/>
        <c:majorTickMark val="out"/>
        <c:minorTickMark val="none"/>
        <c:tickLblPos val="nextTo"/>
        <c:txPr>
          <a:bodyPr/>
          <a:lstStyle/>
          <a:p>
            <a:pPr>
              <a:defRPr sz="800"/>
            </a:pPr>
            <a:endParaRPr lang="en-US"/>
          </a:p>
        </c:txPr>
        <c:crossAx val="223100624"/>
        <c:crosses val="autoZero"/>
        <c:auto val="1"/>
        <c:lblAlgn val="ctr"/>
        <c:lblOffset val="100"/>
        <c:noMultiLvlLbl val="0"/>
      </c:catAx>
      <c:valAx>
        <c:axId val="22310062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100232"/>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218883729399974E-2"/>
          <c:y val="3.2298858792408514E-2"/>
          <c:w val="0.93295665692096541"/>
          <c:h val="0.8017195272647859"/>
        </c:manualLayout>
      </c:layout>
      <c:barChart>
        <c:barDir val="col"/>
        <c:grouping val="clustered"/>
        <c:varyColors val="0"/>
        <c:ser>
          <c:idx val="3"/>
          <c:order val="3"/>
          <c:tx>
            <c:strRef>
              <c:f>'Further Analysis Sheet'!$C$17</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Sheet'!$D$17:$O$17</c:f>
              <c:numCache>
                <c:formatCode>General</c:formatCode>
                <c:ptCount val="12"/>
                <c:pt idx="0">
                  <c:v>611</c:v>
                </c:pt>
                <c:pt idx="1">
                  <c:v>665</c:v>
                </c:pt>
                <c:pt idx="2">
                  <c:v>752</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A107-468F-A3C6-DE3C4B75B7D1}"/>
            </c:ext>
          </c:extLst>
        </c:ser>
        <c:dLbls>
          <c:showLegendKey val="0"/>
          <c:showVal val="0"/>
          <c:showCatName val="0"/>
          <c:showSerName val="0"/>
          <c:showPercent val="0"/>
          <c:showBubbleSize val="0"/>
        </c:dLbls>
        <c:gapWidth val="60"/>
        <c:axId val="219092640"/>
        <c:axId val="120507544"/>
      </c:barChart>
      <c:lineChart>
        <c:grouping val="standard"/>
        <c:varyColors val="0"/>
        <c:ser>
          <c:idx val="0"/>
          <c:order val="0"/>
          <c:tx>
            <c:strRef>
              <c:f>'Further Analysis Sheet'!$C$14</c:f>
              <c:strCache>
                <c:ptCount val="1"/>
                <c:pt idx="0">
                  <c:v>Target</c:v>
                </c:pt>
              </c:strCache>
            </c:strRef>
          </c:tx>
          <c:spPr>
            <a:ln>
              <a:solidFill>
                <a:srgbClr val="00B05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Sheet'!$D$14:$O$14</c:f>
              <c:numCache>
                <c:formatCode>General</c:formatCode>
                <c:ptCount val="12"/>
                <c:pt idx="0">
                  <c:v>806</c:v>
                </c:pt>
                <c:pt idx="1">
                  <c:v>739</c:v>
                </c:pt>
                <c:pt idx="2">
                  <c:v>739</c:v>
                </c:pt>
                <c:pt idx="3">
                  <c:v>882</c:v>
                </c:pt>
                <c:pt idx="4">
                  <c:v>692</c:v>
                </c:pt>
                <c:pt idx="5">
                  <c:v>556</c:v>
                </c:pt>
                <c:pt idx="6">
                  <c:v>506</c:v>
                </c:pt>
                <c:pt idx="7">
                  <c:v>581</c:v>
                </c:pt>
                <c:pt idx="8">
                  <c:v>349</c:v>
                </c:pt>
                <c:pt idx="9">
                  <c:v>388</c:v>
                </c:pt>
                <c:pt idx="10">
                  <c:v>371</c:v>
                </c:pt>
                <c:pt idx="11">
                  <c:v>560</c:v>
                </c:pt>
              </c:numCache>
            </c:numRef>
          </c:val>
          <c:smooth val="0"/>
          <c:extLst>
            <c:ext xmlns:c16="http://schemas.microsoft.com/office/drawing/2014/chart" uri="{C3380CC4-5D6E-409C-BE32-E72D297353CC}">
              <c16:uniqueId val="{00000001-A107-468F-A3C6-DE3C4B75B7D1}"/>
            </c:ext>
          </c:extLst>
        </c:ser>
        <c:ser>
          <c:idx val="1"/>
          <c:order val="1"/>
          <c:tx>
            <c:strRef>
              <c:f>'Further Analysis Sheet'!$C$15</c:f>
              <c:strCache>
                <c:ptCount val="1"/>
                <c:pt idx="0">
                  <c:v>Target +10%</c:v>
                </c:pt>
              </c:strCache>
            </c:strRef>
          </c:tx>
          <c:spPr>
            <a:ln>
              <a:solidFill>
                <a:srgbClr val="C00000"/>
              </a:solidFill>
              <a:prstDash val="solid"/>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Sheet'!$D$15:$O$15</c:f>
              <c:numCache>
                <c:formatCode>General</c:formatCode>
                <c:ptCount val="12"/>
                <c:pt idx="0">
                  <c:v>886.6</c:v>
                </c:pt>
                <c:pt idx="1">
                  <c:v>812.90000000000009</c:v>
                </c:pt>
                <c:pt idx="2">
                  <c:v>812.90000000000009</c:v>
                </c:pt>
                <c:pt idx="3">
                  <c:v>970.2</c:v>
                </c:pt>
                <c:pt idx="4">
                  <c:v>761.2</c:v>
                </c:pt>
                <c:pt idx="5">
                  <c:v>611.6</c:v>
                </c:pt>
                <c:pt idx="6">
                  <c:v>556.6</c:v>
                </c:pt>
                <c:pt idx="7">
                  <c:v>639.1</c:v>
                </c:pt>
                <c:pt idx="8">
                  <c:v>383.90000000000003</c:v>
                </c:pt>
                <c:pt idx="9">
                  <c:v>426.8</c:v>
                </c:pt>
                <c:pt idx="10">
                  <c:v>408.1</c:v>
                </c:pt>
                <c:pt idx="11">
                  <c:v>616</c:v>
                </c:pt>
              </c:numCache>
            </c:numRef>
          </c:val>
          <c:smooth val="0"/>
          <c:extLst>
            <c:ext xmlns:c16="http://schemas.microsoft.com/office/drawing/2014/chart" uri="{C3380CC4-5D6E-409C-BE32-E72D297353CC}">
              <c16:uniqueId val="{00000002-A107-468F-A3C6-DE3C4B75B7D1}"/>
            </c:ext>
          </c:extLst>
        </c:ser>
        <c:ser>
          <c:idx val="2"/>
          <c:order val="2"/>
          <c:tx>
            <c:strRef>
              <c:f>'Further Analysis Sheet'!$C$16</c:f>
              <c:strCache>
                <c:ptCount val="1"/>
                <c:pt idx="0">
                  <c:v>Target -10%</c:v>
                </c:pt>
              </c:strCache>
            </c:strRef>
          </c:tx>
          <c:spPr>
            <a:ln>
              <a:solidFill>
                <a:srgbClr val="7030A0"/>
              </a:solidFill>
            </a:ln>
          </c:spPr>
          <c:marker>
            <c:symbol val="none"/>
          </c:marker>
          <c:cat>
            <c:strRef>
              <c:f>'Further Analysis Sheet'!$D$3:$O$3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Sheet'!$D$16:$O$16</c:f>
              <c:numCache>
                <c:formatCode>General</c:formatCode>
                <c:ptCount val="12"/>
                <c:pt idx="0">
                  <c:v>725.4</c:v>
                </c:pt>
                <c:pt idx="1">
                  <c:v>665.1</c:v>
                </c:pt>
                <c:pt idx="2">
                  <c:v>665.1</c:v>
                </c:pt>
                <c:pt idx="3">
                  <c:v>793.80000000000007</c:v>
                </c:pt>
                <c:pt idx="4">
                  <c:v>622.80000000000007</c:v>
                </c:pt>
                <c:pt idx="5">
                  <c:v>500.40000000000003</c:v>
                </c:pt>
                <c:pt idx="6">
                  <c:v>455.40000000000003</c:v>
                </c:pt>
                <c:pt idx="7">
                  <c:v>522.9</c:v>
                </c:pt>
                <c:pt idx="8">
                  <c:v>314.10000000000002</c:v>
                </c:pt>
                <c:pt idx="9">
                  <c:v>349.2</c:v>
                </c:pt>
                <c:pt idx="10">
                  <c:v>333.90000000000003</c:v>
                </c:pt>
                <c:pt idx="11">
                  <c:v>504</c:v>
                </c:pt>
              </c:numCache>
            </c:numRef>
          </c:val>
          <c:smooth val="0"/>
          <c:extLst>
            <c:ext xmlns:c16="http://schemas.microsoft.com/office/drawing/2014/chart" uri="{C3380CC4-5D6E-409C-BE32-E72D297353CC}">
              <c16:uniqueId val="{00000003-A107-468F-A3C6-DE3C4B75B7D1}"/>
            </c:ext>
          </c:extLst>
        </c:ser>
        <c:dLbls>
          <c:showLegendKey val="0"/>
          <c:showVal val="0"/>
          <c:showCatName val="0"/>
          <c:showSerName val="0"/>
          <c:showPercent val="0"/>
          <c:showBubbleSize val="0"/>
        </c:dLbls>
        <c:marker val="1"/>
        <c:smooth val="0"/>
        <c:axId val="219092640"/>
        <c:axId val="120507544"/>
      </c:lineChart>
      <c:catAx>
        <c:axId val="219092640"/>
        <c:scaling>
          <c:orientation val="minMax"/>
        </c:scaling>
        <c:delete val="0"/>
        <c:axPos val="b"/>
        <c:numFmt formatCode="General" sourceLinked="0"/>
        <c:majorTickMark val="out"/>
        <c:minorTickMark val="none"/>
        <c:tickLblPos val="nextTo"/>
        <c:txPr>
          <a:bodyPr/>
          <a:lstStyle/>
          <a:p>
            <a:pPr>
              <a:defRPr sz="800"/>
            </a:pPr>
            <a:endParaRPr lang="en-US"/>
          </a:p>
        </c:txPr>
        <c:crossAx val="120507544"/>
        <c:crosses val="autoZero"/>
        <c:auto val="1"/>
        <c:lblAlgn val="ctr"/>
        <c:lblOffset val="100"/>
        <c:noMultiLvlLbl val="0"/>
      </c:catAx>
      <c:valAx>
        <c:axId val="12050754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190926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1596035624078976E-2"/>
          <c:y val="3.7280095574972472E-2"/>
          <c:w val="0.93504844186807223"/>
          <c:h val="0.81778795474243937"/>
        </c:manualLayout>
      </c:layout>
      <c:lineChart>
        <c:grouping val="standard"/>
        <c:varyColors val="0"/>
        <c:ser>
          <c:idx val="0"/>
          <c:order val="0"/>
          <c:tx>
            <c:strRef>
              <c:f>'Further Analysis Sheet'!$T$14</c:f>
              <c:strCache>
                <c:ptCount val="1"/>
                <c:pt idx="0">
                  <c:v>Target</c:v>
                </c:pt>
              </c:strCache>
            </c:strRef>
          </c:tx>
          <c:spPr>
            <a:ln>
              <a:solidFill>
                <a:srgbClr val="00B05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Sheet'!$U$14:$AF$14</c:f>
              <c:numCache>
                <c:formatCode>General</c:formatCode>
                <c:ptCount val="12"/>
                <c:pt idx="0">
                  <c:v>806</c:v>
                </c:pt>
                <c:pt idx="1">
                  <c:v>1545</c:v>
                </c:pt>
                <c:pt idx="2">
                  <c:v>2284</c:v>
                </c:pt>
                <c:pt idx="3">
                  <c:v>3166</c:v>
                </c:pt>
                <c:pt idx="4">
                  <c:v>3858</c:v>
                </c:pt>
                <c:pt idx="5">
                  <c:v>4414</c:v>
                </c:pt>
                <c:pt idx="6">
                  <c:v>4920</c:v>
                </c:pt>
                <c:pt idx="7">
                  <c:v>5501</c:v>
                </c:pt>
                <c:pt idx="8">
                  <c:v>5850</c:v>
                </c:pt>
                <c:pt idx="9">
                  <c:v>6238</c:v>
                </c:pt>
                <c:pt idx="10">
                  <c:v>6609</c:v>
                </c:pt>
                <c:pt idx="11">
                  <c:v>7169</c:v>
                </c:pt>
              </c:numCache>
            </c:numRef>
          </c:val>
          <c:smooth val="0"/>
          <c:extLst>
            <c:ext xmlns:c16="http://schemas.microsoft.com/office/drawing/2014/chart" uri="{C3380CC4-5D6E-409C-BE32-E72D297353CC}">
              <c16:uniqueId val="{00000000-73BA-41FD-9CF8-E7548D798F4F}"/>
            </c:ext>
          </c:extLst>
        </c:ser>
        <c:ser>
          <c:idx val="1"/>
          <c:order val="1"/>
          <c:tx>
            <c:strRef>
              <c:f>'Further Analysis Sheet'!$T$15</c:f>
              <c:strCache>
                <c:ptCount val="1"/>
                <c:pt idx="0">
                  <c:v>Target +10%</c:v>
                </c:pt>
              </c:strCache>
            </c:strRef>
          </c:tx>
          <c:spPr>
            <a:ln>
              <a:solidFill>
                <a:srgbClr val="C0000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Sheet'!$U$15:$AF$15</c:f>
              <c:numCache>
                <c:formatCode>General</c:formatCode>
                <c:ptCount val="12"/>
                <c:pt idx="0">
                  <c:v>886.6</c:v>
                </c:pt>
                <c:pt idx="1">
                  <c:v>1699.5</c:v>
                </c:pt>
                <c:pt idx="2">
                  <c:v>2512.4</c:v>
                </c:pt>
                <c:pt idx="3">
                  <c:v>3482.6000000000004</c:v>
                </c:pt>
                <c:pt idx="4">
                  <c:v>4243.8</c:v>
                </c:pt>
                <c:pt idx="5">
                  <c:v>4855.4000000000005</c:v>
                </c:pt>
                <c:pt idx="6">
                  <c:v>5412.0000000000009</c:v>
                </c:pt>
                <c:pt idx="7">
                  <c:v>6051.1000000000013</c:v>
                </c:pt>
                <c:pt idx="8">
                  <c:v>6435.0000000000009</c:v>
                </c:pt>
                <c:pt idx="9">
                  <c:v>6861.8000000000011</c:v>
                </c:pt>
                <c:pt idx="10">
                  <c:v>7269.9000000000015</c:v>
                </c:pt>
                <c:pt idx="11">
                  <c:v>7885.9000000000015</c:v>
                </c:pt>
              </c:numCache>
            </c:numRef>
          </c:val>
          <c:smooth val="0"/>
          <c:extLst>
            <c:ext xmlns:c16="http://schemas.microsoft.com/office/drawing/2014/chart" uri="{C3380CC4-5D6E-409C-BE32-E72D297353CC}">
              <c16:uniqueId val="{00000001-73BA-41FD-9CF8-E7548D798F4F}"/>
            </c:ext>
          </c:extLst>
        </c:ser>
        <c:ser>
          <c:idx val="2"/>
          <c:order val="2"/>
          <c:tx>
            <c:strRef>
              <c:f>'Further Analysis Sheet'!$T$16</c:f>
              <c:strCache>
                <c:ptCount val="1"/>
                <c:pt idx="0">
                  <c:v>Target -10%</c:v>
                </c:pt>
              </c:strCache>
            </c:strRef>
          </c:tx>
          <c:spPr>
            <a:ln>
              <a:solidFill>
                <a:srgbClr val="7030A0"/>
              </a:solidFill>
              <a:prstDash val="sysDash"/>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Sheet'!$U$16:$AF$16</c:f>
              <c:numCache>
                <c:formatCode>General</c:formatCode>
                <c:ptCount val="12"/>
                <c:pt idx="0">
                  <c:v>725.4</c:v>
                </c:pt>
                <c:pt idx="1">
                  <c:v>1390.5</c:v>
                </c:pt>
                <c:pt idx="2">
                  <c:v>2055.6</c:v>
                </c:pt>
                <c:pt idx="3">
                  <c:v>2849.4</c:v>
                </c:pt>
                <c:pt idx="4">
                  <c:v>3472.2000000000003</c:v>
                </c:pt>
                <c:pt idx="5">
                  <c:v>3972.6000000000004</c:v>
                </c:pt>
                <c:pt idx="6">
                  <c:v>4428</c:v>
                </c:pt>
                <c:pt idx="7">
                  <c:v>4950.8999999999996</c:v>
                </c:pt>
                <c:pt idx="8">
                  <c:v>5265</c:v>
                </c:pt>
                <c:pt idx="9">
                  <c:v>5614.2</c:v>
                </c:pt>
                <c:pt idx="10">
                  <c:v>5948.0999999999995</c:v>
                </c:pt>
                <c:pt idx="11">
                  <c:v>6452.0999999999995</c:v>
                </c:pt>
              </c:numCache>
            </c:numRef>
          </c:val>
          <c:smooth val="0"/>
          <c:extLst>
            <c:ext xmlns:c16="http://schemas.microsoft.com/office/drawing/2014/chart" uri="{C3380CC4-5D6E-409C-BE32-E72D297353CC}">
              <c16:uniqueId val="{00000002-73BA-41FD-9CF8-E7548D798F4F}"/>
            </c:ext>
          </c:extLst>
        </c:ser>
        <c:ser>
          <c:idx val="3"/>
          <c:order val="3"/>
          <c:tx>
            <c:strRef>
              <c:f>'Further Analysis Sheet'!$T$17</c:f>
              <c:strCache>
                <c:ptCount val="1"/>
                <c:pt idx="0">
                  <c:v>Performance</c:v>
                </c:pt>
              </c:strCache>
            </c:strRef>
          </c:tx>
          <c:spPr>
            <a:ln>
              <a:solidFill>
                <a:schemeClr val="tx1"/>
              </a:solidFill>
            </a:ln>
          </c:spPr>
          <c:marker>
            <c:symbol val="none"/>
          </c:marker>
          <c:cat>
            <c:strRef>
              <c:f>'Further Analysis Sheet'!$U$3:$AF$3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Sheet'!$U$17:$AF$17</c:f>
              <c:numCache>
                <c:formatCode>General</c:formatCode>
                <c:ptCount val="12"/>
                <c:pt idx="0">
                  <c:v>611</c:v>
                </c:pt>
                <c:pt idx="1">
                  <c:v>1276</c:v>
                </c:pt>
                <c:pt idx="2">
                  <c:v>2028</c:v>
                </c:pt>
                <c:pt idx="3">
                  <c:v>2028</c:v>
                </c:pt>
                <c:pt idx="4">
                  <c:v>2028</c:v>
                </c:pt>
                <c:pt idx="5">
                  <c:v>2028</c:v>
                </c:pt>
                <c:pt idx="6">
                  <c:v>2028</c:v>
                </c:pt>
                <c:pt idx="7">
                  <c:v>2028</c:v>
                </c:pt>
                <c:pt idx="8">
                  <c:v>2028</c:v>
                </c:pt>
                <c:pt idx="9">
                  <c:v>2028</c:v>
                </c:pt>
                <c:pt idx="10">
                  <c:v>2028</c:v>
                </c:pt>
                <c:pt idx="11">
                  <c:v>2028</c:v>
                </c:pt>
              </c:numCache>
            </c:numRef>
          </c:val>
          <c:smooth val="0"/>
          <c:extLst>
            <c:ext xmlns:c16="http://schemas.microsoft.com/office/drawing/2014/chart" uri="{C3380CC4-5D6E-409C-BE32-E72D297353CC}">
              <c16:uniqueId val="{00000003-73BA-41FD-9CF8-E7548D798F4F}"/>
            </c:ext>
          </c:extLst>
        </c:ser>
        <c:dLbls>
          <c:showLegendKey val="0"/>
          <c:showVal val="0"/>
          <c:showCatName val="0"/>
          <c:showSerName val="0"/>
          <c:showPercent val="0"/>
          <c:showBubbleSize val="0"/>
        </c:dLbls>
        <c:smooth val="0"/>
        <c:axId val="221570816"/>
        <c:axId val="223268304"/>
      </c:lineChart>
      <c:catAx>
        <c:axId val="221570816"/>
        <c:scaling>
          <c:orientation val="minMax"/>
        </c:scaling>
        <c:delete val="0"/>
        <c:axPos val="b"/>
        <c:numFmt formatCode="General" sourceLinked="0"/>
        <c:majorTickMark val="out"/>
        <c:minorTickMark val="none"/>
        <c:tickLblPos val="nextTo"/>
        <c:txPr>
          <a:bodyPr/>
          <a:lstStyle/>
          <a:p>
            <a:pPr>
              <a:defRPr sz="800"/>
            </a:pPr>
            <a:endParaRPr lang="en-US"/>
          </a:p>
        </c:txPr>
        <c:crossAx val="223268304"/>
        <c:crosses val="autoZero"/>
        <c:auto val="1"/>
        <c:lblAlgn val="ctr"/>
        <c:lblOffset val="100"/>
        <c:noMultiLvlLbl val="0"/>
      </c:catAx>
      <c:valAx>
        <c:axId val="223268304"/>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1570816"/>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0990784148127917E-2"/>
          <c:y val="2.723379168716375E-2"/>
          <c:w val="0.94599783890212186"/>
          <c:h val="0.79773556029265935"/>
        </c:manualLayout>
      </c:layout>
      <c:barChart>
        <c:barDir val="col"/>
        <c:grouping val="clustered"/>
        <c:varyColors val="0"/>
        <c:ser>
          <c:idx val="3"/>
          <c:order val="3"/>
          <c:tx>
            <c:strRef>
              <c:f>'Further Analysis Sheet'!$C$22</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Sheet'!$D$22:$O$22</c:f>
              <c:numCache>
                <c:formatCode>General</c:formatCode>
                <c:ptCount val="12"/>
                <c:pt idx="0">
                  <c:v>133</c:v>
                </c:pt>
                <c:pt idx="1">
                  <c:v>138</c:v>
                </c:pt>
                <c:pt idx="2">
                  <c:v>154</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0A2E-42F1-B748-998485A235D0}"/>
            </c:ext>
          </c:extLst>
        </c:ser>
        <c:dLbls>
          <c:showLegendKey val="0"/>
          <c:showVal val="0"/>
          <c:showCatName val="0"/>
          <c:showSerName val="0"/>
          <c:showPercent val="0"/>
          <c:showBubbleSize val="0"/>
        </c:dLbls>
        <c:gapWidth val="60"/>
        <c:axId val="220489840"/>
        <c:axId val="217169920"/>
      </c:barChart>
      <c:lineChart>
        <c:grouping val="standard"/>
        <c:varyColors val="0"/>
        <c:ser>
          <c:idx val="0"/>
          <c:order val="0"/>
          <c:tx>
            <c:strRef>
              <c:f>'Further Analysis Sheet'!$C$19</c:f>
              <c:strCache>
                <c:ptCount val="1"/>
                <c:pt idx="0">
                  <c:v>Target</c:v>
                </c:pt>
              </c:strCache>
            </c:strRef>
          </c:tx>
          <c:spPr>
            <a:ln>
              <a:solidFill>
                <a:srgbClr val="00B050"/>
              </a:solidFill>
            </a:ln>
          </c:spPr>
          <c:marker>
            <c:symbol val="none"/>
          </c:marker>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Sheet'!$D$19:$O$19</c:f>
              <c:numCache>
                <c:formatCode>General</c:formatCode>
                <c:ptCount val="12"/>
                <c:pt idx="0">
                  <c:v>184</c:v>
                </c:pt>
                <c:pt idx="1">
                  <c:v>178</c:v>
                </c:pt>
                <c:pt idx="2">
                  <c:v>171</c:v>
                </c:pt>
                <c:pt idx="3">
                  <c:v>173</c:v>
                </c:pt>
                <c:pt idx="4">
                  <c:v>159</c:v>
                </c:pt>
                <c:pt idx="5">
                  <c:v>155</c:v>
                </c:pt>
                <c:pt idx="6">
                  <c:v>161</c:v>
                </c:pt>
                <c:pt idx="7">
                  <c:v>168</c:v>
                </c:pt>
                <c:pt idx="8">
                  <c:v>148</c:v>
                </c:pt>
                <c:pt idx="9">
                  <c:v>164</c:v>
                </c:pt>
                <c:pt idx="10">
                  <c:v>144</c:v>
                </c:pt>
                <c:pt idx="11">
                  <c:v>178</c:v>
                </c:pt>
              </c:numCache>
            </c:numRef>
          </c:val>
          <c:smooth val="0"/>
          <c:extLst>
            <c:ext xmlns:c16="http://schemas.microsoft.com/office/drawing/2014/chart" uri="{C3380CC4-5D6E-409C-BE32-E72D297353CC}">
              <c16:uniqueId val="{00000001-0A2E-42F1-B748-998485A235D0}"/>
            </c:ext>
          </c:extLst>
        </c:ser>
        <c:ser>
          <c:idx val="1"/>
          <c:order val="1"/>
          <c:tx>
            <c:strRef>
              <c:f>'Further Analysis Sheet'!$C$20</c:f>
              <c:strCache>
                <c:ptCount val="1"/>
                <c:pt idx="0">
                  <c:v>Target +10%</c:v>
                </c:pt>
              </c:strCache>
            </c:strRef>
          </c:tx>
          <c:spPr>
            <a:ln>
              <a:solidFill>
                <a:srgbClr val="C00000"/>
              </a:solidFill>
            </a:ln>
          </c:spPr>
          <c:marker>
            <c:symbol val="none"/>
          </c:marker>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Sheet'!$D$20:$O$20</c:f>
              <c:numCache>
                <c:formatCode>General</c:formatCode>
                <c:ptCount val="12"/>
                <c:pt idx="0">
                  <c:v>202.4</c:v>
                </c:pt>
                <c:pt idx="1">
                  <c:v>195.8</c:v>
                </c:pt>
                <c:pt idx="2">
                  <c:v>188.10000000000002</c:v>
                </c:pt>
                <c:pt idx="3">
                  <c:v>190.3</c:v>
                </c:pt>
                <c:pt idx="4">
                  <c:v>174.9</c:v>
                </c:pt>
                <c:pt idx="5">
                  <c:v>170.5</c:v>
                </c:pt>
                <c:pt idx="6">
                  <c:v>177.10000000000002</c:v>
                </c:pt>
                <c:pt idx="7">
                  <c:v>184.8</c:v>
                </c:pt>
                <c:pt idx="8">
                  <c:v>162.80000000000001</c:v>
                </c:pt>
                <c:pt idx="9">
                  <c:v>180.4</c:v>
                </c:pt>
                <c:pt idx="10">
                  <c:v>158.4</c:v>
                </c:pt>
                <c:pt idx="11">
                  <c:v>195.8</c:v>
                </c:pt>
              </c:numCache>
            </c:numRef>
          </c:val>
          <c:smooth val="0"/>
          <c:extLst>
            <c:ext xmlns:c16="http://schemas.microsoft.com/office/drawing/2014/chart" uri="{C3380CC4-5D6E-409C-BE32-E72D297353CC}">
              <c16:uniqueId val="{00000002-0A2E-42F1-B748-998485A235D0}"/>
            </c:ext>
          </c:extLst>
        </c:ser>
        <c:ser>
          <c:idx val="2"/>
          <c:order val="2"/>
          <c:tx>
            <c:strRef>
              <c:f>'Further Analysis Sheet'!$C$21</c:f>
              <c:strCache>
                <c:ptCount val="1"/>
                <c:pt idx="0">
                  <c:v>Target -10%</c:v>
                </c:pt>
              </c:strCache>
            </c:strRef>
          </c:tx>
          <c:spPr>
            <a:ln>
              <a:solidFill>
                <a:srgbClr val="7030A0"/>
              </a:solidFill>
            </a:ln>
          </c:spPr>
          <c:marker>
            <c:symbol val="none"/>
          </c:marker>
          <c:cat>
            <c:strRef>
              <c:f>'Further Analysis Sheet'!$D$18:$O$18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Sheet'!$D$21:$O$21</c:f>
              <c:numCache>
                <c:formatCode>General</c:formatCode>
                <c:ptCount val="12"/>
                <c:pt idx="0">
                  <c:v>165.6</c:v>
                </c:pt>
                <c:pt idx="1">
                  <c:v>160.20000000000002</c:v>
                </c:pt>
                <c:pt idx="2">
                  <c:v>153.9</c:v>
                </c:pt>
                <c:pt idx="3">
                  <c:v>155.70000000000002</c:v>
                </c:pt>
                <c:pt idx="4">
                  <c:v>143.1</c:v>
                </c:pt>
                <c:pt idx="5">
                  <c:v>139.5</c:v>
                </c:pt>
                <c:pt idx="6">
                  <c:v>144.9</c:v>
                </c:pt>
                <c:pt idx="7">
                  <c:v>151.20000000000002</c:v>
                </c:pt>
                <c:pt idx="8">
                  <c:v>133.20000000000002</c:v>
                </c:pt>
                <c:pt idx="9">
                  <c:v>147.6</c:v>
                </c:pt>
                <c:pt idx="10">
                  <c:v>129.6</c:v>
                </c:pt>
                <c:pt idx="11">
                  <c:v>160.20000000000002</c:v>
                </c:pt>
              </c:numCache>
            </c:numRef>
          </c:val>
          <c:smooth val="0"/>
          <c:extLst>
            <c:ext xmlns:c16="http://schemas.microsoft.com/office/drawing/2014/chart" uri="{C3380CC4-5D6E-409C-BE32-E72D297353CC}">
              <c16:uniqueId val="{00000003-0A2E-42F1-B748-998485A235D0}"/>
            </c:ext>
          </c:extLst>
        </c:ser>
        <c:dLbls>
          <c:showLegendKey val="0"/>
          <c:showVal val="0"/>
          <c:showCatName val="0"/>
          <c:showSerName val="0"/>
          <c:showPercent val="0"/>
          <c:showBubbleSize val="0"/>
        </c:dLbls>
        <c:marker val="1"/>
        <c:smooth val="0"/>
        <c:axId val="220489840"/>
        <c:axId val="217169920"/>
      </c:lineChart>
      <c:catAx>
        <c:axId val="220489840"/>
        <c:scaling>
          <c:orientation val="minMax"/>
        </c:scaling>
        <c:delete val="0"/>
        <c:axPos val="b"/>
        <c:numFmt formatCode="General" sourceLinked="0"/>
        <c:majorTickMark val="out"/>
        <c:minorTickMark val="none"/>
        <c:tickLblPos val="nextTo"/>
        <c:txPr>
          <a:bodyPr/>
          <a:lstStyle/>
          <a:p>
            <a:pPr>
              <a:defRPr sz="800"/>
            </a:pPr>
            <a:endParaRPr lang="en-US"/>
          </a:p>
        </c:txPr>
        <c:crossAx val="217169920"/>
        <c:crosses val="autoZero"/>
        <c:auto val="1"/>
        <c:lblAlgn val="ctr"/>
        <c:lblOffset val="100"/>
        <c:noMultiLvlLbl val="0"/>
      </c:catAx>
      <c:valAx>
        <c:axId val="21716992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0489840"/>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148849568862316E-2"/>
          <c:y val="2.723379168716375E-2"/>
          <c:w val="0.93933115488246144"/>
          <c:h val="0.8277046389780347"/>
        </c:manualLayout>
      </c:layout>
      <c:lineChart>
        <c:grouping val="standard"/>
        <c:varyColors val="0"/>
        <c:ser>
          <c:idx val="0"/>
          <c:order val="0"/>
          <c:tx>
            <c:strRef>
              <c:f>'Further Analysis Sheet'!$T$19</c:f>
              <c:strCache>
                <c:ptCount val="1"/>
                <c:pt idx="0">
                  <c:v>Target</c:v>
                </c:pt>
              </c:strCache>
            </c:strRef>
          </c:tx>
          <c:spPr>
            <a:ln>
              <a:solidFill>
                <a:srgbClr val="00B05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Sheet'!$U$19:$AF$19</c:f>
              <c:numCache>
                <c:formatCode>General</c:formatCode>
                <c:ptCount val="12"/>
                <c:pt idx="0">
                  <c:v>184</c:v>
                </c:pt>
                <c:pt idx="1">
                  <c:v>362</c:v>
                </c:pt>
                <c:pt idx="2">
                  <c:v>533</c:v>
                </c:pt>
                <c:pt idx="3">
                  <c:v>706</c:v>
                </c:pt>
                <c:pt idx="4">
                  <c:v>865</c:v>
                </c:pt>
                <c:pt idx="5">
                  <c:v>1020</c:v>
                </c:pt>
                <c:pt idx="6">
                  <c:v>1181</c:v>
                </c:pt>
                <c:pt idx="7">
                  <c:v>1349</c:v>
                </c:pt>
                <c:pt idx="8">
                  <c:v>1497</c:v>
                </c:pt>
                <c:pt idx="9">
                  <c:v>1661</c:v>
                </c:pt>
                <c:pt idx="10">
                  <c:v>1805</c:v>
                </c:pt>
                <c:pt idx="11">
                  <c:v>1983</c:v>
                </c:pt>
              </c:numCache>
            </c:numRef>
          </c:val>
          <c:smooth val="0"/>
          <c:extLst>
            <c:ext xmlns:c16="http://schemas.microsoft.com/office/drawing/2014/chart" uri="{C3380CC4-5D6E-409C-BE32-E72D297353CC}">
              <c16:uniqueId val="{00000000-35EF-4B79-B855-80D492841936}"/>
            </c:ext>
          </c:extLst>
        </c:ser>
        <c:ser>
          <c:idx val="1"/>
          <c:order val="1"/>
          <c:tx>
            <c:strRef>
              <c:f>'Further Analysis Sheet'!$T$20</c:f>
              <c:strCache>
                <c:ptCount val="1"/>
                <c:pt idx="0">
                  <c:v>Target +10%</c:v>
                </c:pt>
              </c:strCache>
            </c:strRef>
          </c:tx>
          <c:spPr>
            <a:ln>
              <a:solidFill>
                <a:srgbClr val="C0000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Sheet'!$U$20:$AF$20</c:f>
              <c:numCache>
                <c:formatCode>General</c:formatCode>
                <c:ptCount val="12"/>
                <c:pt idx="0">
                  <c:v>202.4</c:v>
                </c:pt>
                <c:pt idx="1">
                  <c:v>398.20000000000005</c:v>
                </c:pt>
                <c:pt idx="2">
                  <c:v>586.30000000000007</c:v>
                </c:pt>
                <c:pt idx="3">
                  <c:v>776.60000000000014</c:v>
                </c:pt>
                <c:pt idx="4">
                  <c:v>951.50000000000011</c:v>
                </c:pt>
                <c:pt idx="5">
                  <c:v>1122</c:v>
                </c:pt>
                <c:pt idx="6">
                  <c:v>1299.0999999999999</c:v>
                </c:pt>
                <c:pt idx="7">
                  <c:v>1483.8999999999999</c:v>
                </c:pt>
                <c:pt idx="8">
                  <c:v>1646.6999999999998</c:v>
                </c:pt>
                <c:pt idx="9">
                  <c:v>1827.1</c:v>
                </c:pt>
                <c:pt idx="10">
                  <c:v>1985.5</c:v>
                </c:pt>
                <c:pt idx="11">
                  <c:v>2181.3000000000002</c:v>
                </c:pt>
              </c:numCache>
            </c:numRef>
          </c:val>
          <c:smooth val="0"/>
          <c:extLst>
            <c:ext xmlns:c16="http://schemas.microsoft.com/office/drawing/2014/chart" uri="{C3380CC4-5D6E-409C-BE32-E72D297353CC}">
              <c16:uniqueId val="{00000001-35EF-4B79-B855-80D492841936}"/>
            </c:ext>
          </c:extLst>
        </c:ser>
        <c:ser>
          <c:idx val="2"/>
          <c:order val="2"/>
          <c:tx>
            <c:strRef>
              <c:f>'Further Analysis Sheet'!$T$21</c:f>
              <c:strCache>
                <c:ptCount val="1"/>
                <c:pt idx="0">
                  <c:v>Target -10%</c:v>
                </c:pt>
              </c:strCache>
            </c:strRef>
          </c:tx>
          <c:spPr>
            <a:ln>
              <a:solidFill>
                <a:srgbClr val="7030A0"/>
              </a:solidFill>
              <a:prstDash val="sysDash"/>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Sheet'!$U$21:$AF$21</c:f>
              <c:numCache>
                <c:formatCode>General</c:formatCode>
                <c:ptCount val="12"/>
                <c:pt idx="0">
                  <c:v>165.6</c:v>
                </c:pt>
                <c:pt idx="1">
                  <c:v>325.8</c:v>
                </c:pt>
                <c:pt idx="2">
                  <c:v>479.70000000000005</c:v>
                </c:pt>
                <c:pt idx="3">
                  <c:v>635.40000000000009</c:v>
                </c:pt>
                <c:pt idx="4">
                  <c:v>778.50000000000011</c:v>
                </c:pt>
                <c:pt idx="5">
                  <c:v>918.00000000000011</c:v>
                </c:pt>
                <c:pt idx="6">
                  <c:v>1062.9000000000001</c:v>
                </c:pt>
                <c:pt idx="7">
                  <c:v>1214.1000000000001</c:v>
                </c:pt>
                <c:pt idx="8">
                  <c:v>1347.3000000000002</c:v>
                </c:pt>
                <c:pt idx="9">
                  <c:v>1494.9</c:v>
                </c:pt>
                <c:pt idx="10">
                  <c:v>1624.5</c:v>
                </c:pt>
                <c:pt idx="11">
                  <c:v>1784.7</c:v>
                </c:pt>
              </c:numCache>
            </c:numRef>
          </c:val>
          <c:smooth val="0"/>
          <c:extLst>
            <c:ext xmlns:c16="http://schemas.microsoft.com/office/drawing/2014/chart" uri="{C3380CC4-5D6E-409C-BE32-E72D297353CC}">
              <c16:uniqueId val="{00000002-35EF-4B79-B855-80D492841936}"/>
            </c:ext>
          </c:extLst>
        </c:ser>
        <c:ser>
          <c:idx val="3"/>
          <c:order val="3"/>
          <c:tx>
            <c:strRef>
              <c:f>'Further Analysis Sheet'!$T$22</c:f>
              <c:strCache>
                <c:ptCount val="1"/>
                <c:pt idx="0">
                  <c:v>Performance</c:v>
                </c:pt>
              </c:strCache>
            </c:strRef>
          </c:tx>
          <c:spPr>
            <a:ln>
              <a:solidFill>
                <a:schemeClr val="tx1"/>
              </a:solidFill>
            </a:ln>
          </c:spPr>
          <c:marker>
            <c:symbol val="none"/>
          </c:marker>
          <c:cat>
            <c:strRef>
              <c:f>'Further Analysis Sheet'!$U$18:$AF$18</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Sheet'!$U$22:$AF$22</c:f>
              <c:numCache>
                <c:formatCode>General</c:formatCode>
                <c:ptCount val="12"/>
                <c:pt idx="0">
                  <c:v>133</c:v>
                </c:pt>
                <c:pt idx="1">
                  <c:v>271</c:v>
                </c:pt>
                <c:pt idx="2">
                  <c:v>425</c:v>
                </c:pt>
                <c:pt idx="3">
                  <c:v>425</c:v>
                </c:pt>
                <c:pt idx="4">
                  <c:v>425</c:v>
                </c:pt>
                <c:pt idx="5">
                  <c:v>425</c:v>
                </c:pt>
                <c:pt idx="6">
                  <c:v>425</c:v>
                </c:pt>
                <c:pt idx="7">
                  <c:v>425</c:v>
                </c:pt>
                <c:pt idx="8">
                  <c:v>425</c:v>
                </c:pt>
                <c:pt idx="9">
                  <c:v>425</c:v>
                </c:pt>
                <c:pt idx="10">
                  <c:v>425</c:v>
                </c:pt>
                <c:pt idx="11">
                  <c:v>425</c:v>
                </c:pt>
              </c:numCache>
            </c:numRef>
          </c:val>
          <c:smooth val="0"/>
          <c:extLst>
            <c:ext xmlns:c16="http://schemas.microsoft.com/office/drawing/2014/chart" uri="{C3380CC4-5D6E-409C-BE32-E72D297353CC}">
              <c16:uniqueId val="{00000003-35EF-4B79-B855-80D492841936}"/>
            </c:ext>
          </c:extLst>
        </c:ser>
        <c:dLbls>
          <c:showLegendKey val="0"/>
          <c:showVal val="0"/>
          <c:showCatName val="0"/>
          <c:showSerName val="0"/>
          <c:showPercent val="0"/>
          <c:showBubbleSize val="0"/>
        </c:dLbls>
        <c:smooth val="0"/>
        <c:axId val="223248984"/>
        <c:axId val="223249376"/>
      </c:lineChart>
      <c:catAx>
        <c:axId val="223248984"/>
        <c:scaling>
          <c:orientation val="minMax"/>
        </c:scaling>
        <c:delete val="0"/>
        <c:axPos val="b"/>
        <c:numFmt formatCode="General" sourceLinked="0"/>
        <c:majorTickMark val="out"/>
        <c:minorTickMark val="none"/>
        <c:tickLblPos val="nextTo"/>
        <c:txPr>
          <a:bodyPr/>
          <a:lstStyle/>
          <a:p>
            <a:pPr>
              <a:defRPr sz="800"/>
            </a:pPr>
            <a:endParaRPr lang="en-US"/>
          </a:p>
        </c:txPr>
        <c:crossAx val="223249376"/>
        <c:crosses val="autoZero"/>
        <c:auto val="1"/>
        <c:lblAlgn val="ctr"/>
        <c:lblOffset val="100"/>
        <c:noMultiLvlLbl val="0"/>
      </c:catAx>
      <c:valAx>
        <c:axId val="223249376"/>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23248984"/>
        <c:crosses val="autoZero"/>
        <c:crossBetween val="between"/>
      </c:valAx>
    </c:plotArea>
    <c:legend>
      <c:legendPos val="r"/>
      <c:layout>
        <c:manualLayout>
          <c:xMode val="edge"/>
          <c:yMode val="edge"/>
          <c:x val="4.795489954899549E-2"/>
          <c:y val="0.90719933086811066"/>
          <c:w val="0.92340631406314067"/>
          <c:h val="9.1306568057756637E-2"/>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968362177484842E-2"/>
          <c:y val="2.723379168716375E-2"/>
          <c:w val="0.95003163782251521"/>
          <c:h val="0.81812293565087013"/>
        </c:manualLayout>
      </c:layout>
      <c:barChart>
        <c:barDir val="col"/>
        <c:grouping val="clustered"/>
        <c:varyColors val="0"/>
        <c:ser>
          <c:idx val="3"/>
          <c:order val="3"/>
          <c:tx>
            <c:strRef>
              <c:f>'Further Analysis Sheet'!$C$57</c:f>
              <c:strCache>
                <c:ptCount val="1"/>
                <c:pt idx="0">
                  <c:v>Performance</c:v>
                </c:pt>
              </c:strCache>
            </c:strRef>
          </c:tx>
          <c:spPr>
            <a:solidFill>
              <a:schemeClr val="bg1">
                <a:lumMod val="65000"/>
              </a:schemeClr>
            </a:solidFill>
            <a:ln w="12700" cap="flat" cmpd="sng" algn="ctr">
              <a:solidFill>
                <a:schemeClr val="tx1"/>
              </a:solidFill>
              <a:prstDash val="solid"/>
            </a:ln>
            <a:effectLst/>
          </c:spPr>
          <c:invertIfNegative val="0"/>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Sheet'!$D$57:$O$57</c:f>
              <c:numCache>
                <c:formatCode>General</c:formatCode>
                <c:ptCount val="12"/>
                <c:pt idx="0">
                  <c:v>46</c:v>
                </c:pt>
                <c:pt idx="1">
                  <c:v>47</c:v>
                </c:pt>
                <c:pt idx="2">
                  <c:v>67</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5963-4F1C-A26B-2BE1E6487D28}"/>
            </c:ext>
          </c:extLst>
        </c:ser>
        <c:dLbls>
          <c:showLegendKey val="0"/>
          <c:showVal val="0"/>
          <c:showCatName val="0"/>
          <c:showSerName val="0"/>
          <c:showPercent val="0"/>
          <c:showBubbleSize val="0"/>
        </c:dLbls>
        <c:gapWidth val="60"/>
        <c:axId val="248580888"/>
        <c:axId val="248581280"/>
      </c:barChart>
      <c:lineChart>
        <c:grouping val="standard"/>
        <c:varyColors val="0"/>
        <c:ser>
          <c:idx val="0"/>
          <c:order val="0"/>
          <c:tx>
            <c:strRef>
              <c:f>'Further Analysis Sheet'!$C$54</c:f>
              <c:strCache>
                <c:ptCount val="1"/>
                <c:pt idx="0">
                  <c:v>Target</c:v>
                </c:pt>
              </c:strCache>
            </c:strRef>
          </c:tx>
          <c:spPr>
            <a:ln>
              <a:solidFill>
                <a:srgbClr val="00B050"/>
              </a:solidFill>
            </a:ln>
          </c:spPr>
          <c:marker>
            <c:symbol val="none"/>
          </c:marker>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Sheet'!$D$54:$O$54</c:f>
              <c:numCache>
                <c:formatCode>General</c:formatCode>
                <c:ptCount val="12"/>
                <c:pt idx="0">
                  <c:v>75</c:v>
                </c:pt>
                <c:pt idx="1">
                  <c:v>76</c:v>
                </c:pt>
                <c:pt idx="2">
                  <c:v>75</c:v>
                </c:pt>
                <c:pt idx="3">
                  <c:v>65</c:v>
                </c:pt>
                <c:pt idx="4">
                  <c:v>60</c:v>
                </c:pt>
                <c:pt idx="5">
                  <c:v>62</c:v>
                </c:pt>
                <c:pt idx="6">
                  <c:v>71</c:v>
                </c:pt>
                <c:pt idx="7">
                  <c:v>68</c:v>
                </c:pt>
                <c:pt idx="8">
                  <c:v>68</c:v>
                </c:pt>
                <c:pt idx="9">
                  <c:v>72</c:v>
                </c:pt>
                <c:pt idx="10">
                  <c:v>62</c:v>
                </c:pt>
                <c:pt idx="11">
                  <c:v>80</c:v>
                </c:pt>
              </c:numCache>
            </c:numRef>
          </c:val>
          <c:smooth val="0"/>
          <c:extLst>
            <c:ext xmlns:c16="http://schemas.microsoft.com/office/drawing/2014/chart" uri="{C3380CC4-5D6E-409C-BE32-E72D297353CC}">
              <c16:uniqueId val="{00000001-5963-4F1C-A26B-2BE1E6487D28}"/>
            </c:ext>
          </c:extLst>
        </c:ser>
        <c:ser>
          <c:idx val="1"/>
          <c:order val="1"/>
          <c:tx>
            <c:strRef>
              <c:f>'Further Analysis Sheet'!$C$55</c:f>
              <c:strCache>
                <c:ptCount val="1"/>
                <c:pt idx="0">
                  <c:v>Target +10%</c:v>
                </c:pt>
              </c:strCache>
            </c:strRef>
          </c:tx>
          <c:spPr>
            <a:ln>
              <a:solidFill>
                <a:srgbClr val="C00000"/>
              </a:solidFill>
            </a:ln>
          </c:spPr>
          <c:marker>
            <c:symbol val="none"/>
          </c:marker>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Sheet'!$D$55:$O$55</c:f>
              <c:numCache>
                <c:formatCode>General</c:formatCode>
                <c:ptCount val="12"/>
                <c:pt idx="0">
                  <c:v>82.5</c:v>
                </c:pt>
                <c:pt idx="1">
                  <c:v>83.600000000000009</c:v>
                </c:pt>
                <c:pt idx="2">
                  <c:v>82.5</c:v>
                </c:pt>
                <c:pt idx="3">
                  <c:v>71.5</c:v>
                </c:pt>
                <c:pt idx="4">
                  <c:v>66</c:v>
                </c:pt>
                <c:pt idx="5">
                  <c:v>68.2</c:v>
                </c:pt>
                <c:pt idx="6">
                  <c:v>78.100000000000009</c:v>
                </c:pt>
                <c:pt idx="7">
                  <c:v>74.800000000000011</c:v>
                </c:pt>
                <c:pt idx="8">
                  <c:v>74.800000000000011</c:v>
                </c:pt>
                <c:pt idx="9">
                  <c:v>79.2</c:v>
                </c:pt>
                <c:pt idx="10">
                  <c:v>68.2</c:v>
                </c:pt>
                <c:pt idx="11">
                  <c:v>88</c:v>
                </c:pt>
              </c:numCache>
            </c:numRef>
          </c:val>
          <c:smooth val="0"/>
          <c:extLst>
            <c:ext xmlns:c16="http://schemas.microsoft.com/office/drawing/2014/chart" uri="{C3380CC4-5D6E-409C-BE32-E72D297353CC}">
              <c16:uniqueId val="{00000002-5963-4F1C-A26B-2BE1E6487D28}"/>
            </c:ext>
          </c:extLst>
        </c:ser>
        <c:ser>
          <c:idx val="2"/>
          <c:order val="2"/>
          <c:tx>
            <c:strRef>
              <c:f>'Further Analysis Sheet'!$C$56</c:f>
              <c:strCache>
                <c:ptCount val="1"/>
                <c:pt idx="0">
                  <c:v>Target -10%</c:v>
                </c:pt>
              </c:strCache>
            </c:strRef>
          </c:tx>
          <c:spPr>
            <a:ln>
              <a:solidFill>
                <a:srgbClr val="7030A0"/>
              </a:solidFill>
            </a:ln>
          </c:spPr>
          <c:marker>
            <c:symbol val="none"/>
          </c:marker>
          <c:cat>
            <c:strRef>
              <c:f>'Further Analysis Sheet'!$D$53:$O$53</c:f>
              <c:strCache>
                <c:ptCount val="12"/>
                <c:pt idx="0">
                  <c:v>Apr</c:v>
                </c:pt>
                <c:pt idx="1">
                  <c:v>May</c:v>
                </c:pt>
                <c:pt idx="2">
                  <c:v>June</c:v>
                </c:pt>
                <c:pt idx="3">
                  <c:v>July</c:v>
                </c:pt>
                <c:pt idx="4">
                  <c:v>Aug</c:v>
                </c:pt>
                <c:pt idx="5">
                  <c:v>Sept</c:v>
                </c:pt>
                <c:pt idx="6">
                  <c:v>Oct</c:v>
                </c:pt>
                <c:pt idx="7">
                  <c:v>Nov</c:v>
                </c:pt>
                <c:pt idx="8">
                  <c:v>Dec</c:v>
                </c:pt>
                <c:pt idx="9">
                  <c:v>Jan</c:v>
                </c:pt>
                <c:pt idx="10">
                  <c:v>Feb</c:v>
                </c:pt>
                <c:pt idx="11">
                  <c:v>Mar</c:v>
                </c:pt>
              </c:strCache>
            </c:strRef>
          </c:cat>
          <c:val>
            <c:numRef>
              <c:f>'Further Analysis Sheet'!$D$56:$O$56</c:f>
              <c:numCache>
                <c:formatCode>General</c:formatCode>
                <c:ptCount val="12"/>
                <c:pt idx="0">
                  <c:v>67.5</c:v>
                </c:pt>
                <c:pt idx="1">
                  <c:v>68.400000000000006</c:v>
                </c:pt>
                <c:pt idx="2">
                  <c:v>67.5</c:v>
                </c:pt>
                <c:pt idx="3">
                  <c:v>58.5</c:v>
                </c:pt>
                <c:pt idx="4">
                  <c:v>54</c:v>
                </c:pt>
                <c:pt idx="5">
                  <c:v>55.800000000000004</c:v>
                </c:pt>
                <c:pt idx="6">
                  <c:v>63.9</c:v>
                </c:pt>
                <c:pt idx="7">
                  <c:v>61.2</c:v>
                </c:pt>
                <c:pt idx="8">
                  <c:v>61.2</c:v>
                </c:pt>
                <c:pt idx="9">
                  <c:v>64.8</c:v>
                </c:pt>
                <c:pt idx="10">
                  <c:v>55.800000000000004</c:v>
                </c:pt>
                <c:pt idx="11">
                  <c:v>72</c:v>
                </c:pt>
              </c:numCache>
            </c:numRef>
          </c:val>
          <c:smooth val="0"/>
          <c:extLst>
            <c:ext xmlns:c16="http://schemas.microsoft.com/office/drawing/2014/chart" uri="{C3380CC4-5D6E-409C-BE32-E72D297353CC}">
              <c16:uniqueId val="{00000003-5963-4F1C-A26B-2BE1E6487D28}"/>
            </c:ext>
          </c:extLst>
        </c:ser>
        <c:dLbls>
          <c:showLegendKey val="0"/>
          <c:showVal val="0"/>
          <c:showCatName val="0"/>
          <c:showSerName val="0"/>
          <c:showPercent val="0"/>
          <c:showBubbleSize val="0"/>
        </c:dLbls>
        <c:marker val="1"/>
        <c:smooth val="0"/>
        <c:axId val="248580888"/>
        <c:axId val="248581280"/>
      </c:lineChart>
      <c:catAx>
        <c:axId val="248580888"/>
        <c:scaling>
          <c:orientation val="minMax"/>
        </c:scaling>
        <c:delete val="0"/>
        <c:axPos val="b"/>
        <c:numFmt formatCode="General" sourceLinked="0"/>
        <c:majorTickMark val="out"/>
        <c:minorTickMark val="none"/>
        <c:tickLblPos val="nextTo"/>
        <c:txPr>
          <a:bodyPr/>
          <a:lstStyle/>
          <a:p>
            <a:pPr>
              <a:defRPr sz="800"/>
            </a:pPr>
            <a:endParaRPr lang="en-US"/>
          </a:p>
        </c:txPr>
        <c:crossAx val="248581280"/>
        <c:crosses val="autoZero"/>
        <c:auto val="1"/>
        <c:lblAlgn val="ctr"/>
        <c:lblOffset val="100"/>
        <c:noMultiLvlLbl val="0"/>
      </c:catAx>
      <c:valAx>
        <c:axId val="248581280"/>
        <c:scaling>
          <c:orientation val="minMax"/>
        </c:scaling>
        <c:delete val="0"/>
        <c:axPos val="l"/>
        <c:majorGridlines>
          <c:spPr>
            <a:ln>
              <a:prstDash val="dash"/>
            </a:ln>
          </c:spPr>
        </c:majorGridlines>
        <c:numFmt formatCode="General" sourceLinked="1"/>
        <c:majorTickMark val="out"/>
        <c:minorTickMark val="none"/>
        <c:tickLblPos val="nextTo"/>
        <c:txPr>
          <a:bodyPr/>
          <a:lstStyle/>
          <a:p>
            <a:pPr>
              <a:defRPr sz="900"/>
            </a:pPr>
            <a:endParaRPr lang="en-US"/>
          </a:p>
        </c:txPr>
        <c:crossAx val="248580888"/>
        <c:crosses val="autoZero"/>
        <c:crossBetween val="between"/>
      </c:valAx>
    </c:plotArea>
    <c:legend>
      <c:legendPos val="b"/>
      <c:layout>
        <c:manualLayout>
          <c:xMode val="edge"/>
          <c:yMode val="edge"/>
          <c:x val="7.0480108578230852E-2"/>
          <c:y val="0.89331706954179524"/>
          <c:w val="0.85903957738972569"/>
          <c:h val="0.10109243553212928"/>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0C31AA-CC39-4569-B842-20C63A810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13</Pages>
  <Words>1672</Words>
  <Characters>9535</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Merseyside Fire and Rescue Service</Company>
  <LinksUpToDate>false</LinksUpToDate>
  <CharactersWithSpaces>11185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Nash, Sue</dc:creator>
  <cp:lastModifiedBy>Sutton, Jackie</cp:lastModifiedBy>
  <cp:revision>9</cp:revision>
  <dcterms:created xsi:type="dcterms:W3CDTF">2022-09-14T14:36:00Z</dcterms:created>
  <dcterms:modified xsi:type="dcterms:W3CDTF">2023-08-09T10:12:00Z</dcterms:modified>
</cp:coreProperties>
</file>